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76" w:rsidRPr="001D1B21" w:rsidRDefault="00407903" w:rsidP="00407903">
      <w:pPr>
        <w:pStyle w:val="PHEChapterheading"/>
        <w:spacing w:after="0"/>
        <w:rPr>
          <w:rFonts w:cs="Arial"/>
        </w:rPr>
      </w:pPr>
      <w:bookmarkStart w:id="0" w:name="_Toc384888832"/>
      <w:r w:rsidRPr="001D1B21">
        <w:rPr>
          <w:rFonts w:cs="Arial"/>
        </w:rPr>
        <w:t>CAS-SOP #</w:t>
      </w:r>
      <w:bookmarkEnd w:id="0"/>
      <w:r w:rsidR="00A70B8E">
        <w:rPr>
          <w:rFonts w:cs="Arial"/>
        </w:rPr>
        <w:t>5</w:t>
      </w:r>
      <w:bookmarkStart w:id="1" w:name="_GoBack"/>
      <w:bookmarkEnd w:id="1"/>
    </w:p>
    <w:p w:rsidR="00407903" w:rsidRPr="001D1B21" w:rsidRDefault="00407903" w:rsidP="007B0486">
      <w:pPr>
        <w:pStyle w:val="PHEChapterheading"/>
        <w:spacing w:after="0"/>
        <w:rPr>
          <w:rFonts w:cs="Arial"/>
        </w:rPr>
      </w:pPr>
      <w:r w:rsidRPr="001D1B21">
        <w:rPr>
          <w:rFonts w:cs="Arial"/>
        </w:rPr>
        <w:t>C</w:t>
      </w:r>
      <w:r w:rsidR="00141C82">
        <w:rPr>
          <w:rFonts w:cs="Arial"/>
        </w:rPr>
        <w:t>rude Incidence Rates</w:t>
      </w:r>
    </w:p>
    <w:p w:rsidR="007B0486" w:rsidRPr="001D1B21" w:rsidRDefault="00E317F9" w:rsidP="0069535D">
      <w:pPr>
        <w:pStyle w:val="PHEChapterheading"/>
        <w:rPr>
          <w:rFonts w:cs="Arial"/>
          <w:sz w:val="24"/>
        </w:rPr>
      </w:pPr>
      <w:r w:rsidRPr="001D1B21">
        <w:rPr>
          <w:rFonts w:cs="Arial"/>
          <w:sz w:val="24"/>
        </w:rPr>
        <w:t>V</w:t>
      </w:r>
      <w:r w:rsidR="00A70B8E">
        <w:rPr>
          <w:rFonts w:cs="Arial"/>
          <w:sz w:val="24"/>
        </w:rPr>
        <w:t>1 2017-11-15</w:t>
      </w:r>
    </w:p>
    <w:p w:rsidR="00A56D7C" w:rsidRPr="00BF627F" w:rsidRDefault="00A516A9" w:rsidP="00407903">
      <w:pPr>
        <w:pStyle w:val="PHESecondaryHeadingOne"/>
        <w:rPr>
          <w:rFonts w:cs="Arial"/>
          <w:sz w:val="32"/>
        </w:rPr>
      </w:pPr>
      <w:r>
        <w:rPr>
          <w:rFonts w:cs="Arial"/>
          <w:sz w:val="32"/>
        </w:rPr>
        <w:t>1</w:t>
      </w:r>
      <w:r>
        <w:rPr>
          <w:rFonts w:cs="Arial"/>
          <w:sz w:val="32"/>
        </w:rPr>
        <w:tab/>
      </w:r>
      <w:r w:rsidR="00A56D7C" w:rsidRPr="00BF627F">
        <w:rPr>
          <w:rFonts w:cs="Arial"/>
          <w:sz w:val="32"/>
        </w:rPr>
        <w:t>Summary</w:t>
      </w:r>
    </w:p>
    <w:p w:rsidR="00393F6C" w:rsidRDefault="00393F6C" w:rsidP="00407903">
      <w:pPr>
        <w:pStyle w:val="PHESecondaryHeadingOne"/>
        <w:rPr>
          <w:rFonts w:cs="Arial"/>
          <w:color w:val="auto"/>
          <w:lang w:eastAsia="en-GB"/>
        </w:rPr>
      </w:pPr>
      <w:r>
        <w:rPr>
          <w:rFonts w:cs="Arial"/>
          <w:color w:val="auto"/>
          <w:lang w:eastAsia="en-GB"/>
        </w:rPr>
        <w:t xml:space="preserve">CASSOP #1 explains how to define a standard incidence cohort to count the number of cases of cancer diagnosed.  When trying to compare the number of cases of cancer diagnosed, it is important to look at the </w:t>
      </w:r>
      <w:r>
        <w:rPr>
          <w:rFonts w:cs="Arial"/>
          <w:b/>
          <w:color w:val="auto"/>
          <w:lang w:eastAsia="en-GB"/>
        </w:rPr>
        <w:t>rate</w:t>
      </w:r>
      <w:r>
        <w:rPr>
          <w:rFonts w:cs="Arial"/>
          <w:color w:val="auto"/>
          <w:lang w:eastAsia="en-GB"/>
        </w:rPr>
        <w:t xml:space="preserve"> of cancer - the number of cases of cancer divided by the at risk population.  </w:t>
      </w:r>
    </w:p>
    <w:p w:rsidR="00393F6C" w:rsidRPr="00393F6C" w:rsidRDefault="00393F6C" w:rsidP="00407903">
      <w:pPr>
        <w:pStyle w:val="PHESecondaryHeadingOne"/>
        <w:rPr>
          <w:rFonts w:cs="Arial"/>
          <w:color w:val="auto"/>
          <w:lang w:eastAsia="en-GB"/>
        </w:rPr>
      </w:pPr>
      <w:r w:rsidRPr="00393F6C">
        <w:rPr>
          <w:rFonts w:cs="Arial"/>
          <w:color w:val="auto"/>
          <w:lang w:eastAsia="en-GB"/>
        </w:rPr>
        <w:t>Crude rates are helpful in determining the cancer burden and specific needs for services for a given population, compared with another population, regardless of size</w:t>
      </w:r>
      <w:r>
        <w:rPr>
          <w:rFonts w:cs="Arial"/>
          <w:color w:val="auto"/>
          <w:lang w:eastAsia="en-GB"/>
        </w:rPr>
        <w:t>.</w:t>
      </w:r>
    </w:p>
    <w:p w:rsidR="00393F6C" w:rsidRDefault="00393F6C" w:rsidP="00407903">
      <w:pPr>
        <w:pStyle w:val="PHESecondaryHeadingOne"/>
        <w:rPr>
          <w:rFonts w:cs="Arial"/>
          <w:color w:val="auto"/>
          <w:lang w:eastAsia="en-GB"/>
        </w:rPr>
      </w:pPr>
      <w:r>
        <w:rPr>
          <w:rFonts w:cs="Arial"/>
          <w:color w:val="auto"/>
          <w:lang w:eastAsia="en-GB"/>
        </w:rPr>
        <w:t>This SOP sets out basic methodology for calculating the crude rates of cancer.</w:t>
      </w:r>
    </w:p>
    <w:p w:rsidR="008B489C" w:rsidRDefault="00403C3A" w:rsidP="008B489C">
      <w:pPr>
        <w:pStyle w:val="PHESecondaryHeadingOne"/>
        <w:rPr>
          <w:rFonts w:cs="Arial"/>
          <w:color w:val="auto"/>
          <w:lang w:eastAsia="en-GB"/>
        </w:rPr>
      </w:pPr>
      <w:r>
        <w:rPr>
          <w:rFonts w:cs="Arial"/>
          <w:color w:val="auto"/>
          <w:lang w:eastAsia="en-GB"/>
        </w:rPr>
        <w:t xml:space="preserve">It is accompanied by an Excel spreadsheet, </w:t>
      </w:r>
      <w:r w:rsidR="008B489C">
        <w:rPr>
          <w:rFonts w:cs="Arial"/>
          <w:i/>
          <w:color w:val="auto"/>
          <w:lang w:eastAsia="en-GB"/>
        </w:rPr>
        <w:t>CASSOP 5</w:t>
      </w:r>
      <w:r w:rsidRPr="00D32023">
        <w:rPr>
          <w:rFonts w:cs="Arial"/>
          <w:i/>
          <w:color w:val="auto"/>
          <w:lang w:eastAsia="en-GB"/>
        </w:rPr>
        <w:t xml:space="preserve"> </w:t>
      </w:r>
      <w:r w:rsidR="00D32023" w:rsidRPr="00D32023">
        <w:rPr>
          <w:rFonts w:cs="Arial"/>
          <w:i/>
          <w:color w:val="auto"/>
          <w:lang w:eastAsia="en-GB"/>
        </w:rPr>
        <w:t xml:space="preserve">Crude </w:t>
      </w:r>
      <w:r w:rsidR="004E5E38">
        <w:rPr>
          <w:rFonts w:cs="Arial"/>
          <w:i/>
          <w:color w:val="auto"/>
          <w:lang w:eastAsia="en-GB"/>
        </w:rPr>
        <w:t xml:space="preserve">Incidence </w:t>
      </w:r>
      <w:proofErr w:type="gramStart"/>
      <w:r w:rsidR="00D32023" w:rsidRPr="00D32023">
        <w:rPr>
          <w:rFonts w:cs="Arial"/>
          <w:i/>
          <w:color w:val="auto"/>
          <w:lang w:eastAsia="en-GB"/>
        </w:rPr>
        <w:t>Rates.xlsx</w:t>
      </w:r>
      <w:r w:rsidR="00D32023">
        <w:rPr>
          <w:rFonts w:cs="Arial"/>
          <w:color w:val="auto"/>
          <w:lang w:eastAsia="en-GB"/>
        </w:rPr>
        <w:t xml:space="preserve"> ,</w:t>
      </w:r>
      <w:proofErr w:type="gramEnd"/>
      <w:r w:rsidR="00D32023">
        <w:rPr>
          <w:rFonts w:cs="Arial"/>
          <w:color w:val="auto"/>
          <w:lang w:eastAsia="en-GB"/>
        </w:rPr>
        <w:t xml:space="preserve"> which calculates rates and CIs for given numerators and denominators.</w:t>
      </w:r>
      <w:r w:rsidR="008B489C">
        <w:rPr>
          <w:rFonts w:cs="Arial"/>
          <w:color w:val="auto"/>
          <w:lang w:eastAsia="en-GB"/>
        </w:rPr>
        <w:t xml:space="preserve"> </w:t>
      </w:r>
    </w:p>
    <w:p w:rsidR="008A3130" w:rsidRDefault="008A3130" w:rsidP="00407903">
      <w:pPr>
        <w:pStyle w:val="PHESecondaryHeadingOne"/>
        <w:rPr>
          <w:rFonts w:cs="Arial"/>
          <w:color w:val="auto"/>
          <w:lang w:eastAsia="en-GB"/>
        </w:rPr>
      </w:pPr>
      <w:r>
        <w:rPr>
          <w:rFonts w:cs="Arial"/>
          <w:color w:val="auto"/>
          <w:lang w:eastAsia="en-GB"/>
        </w:rPr>
        <w:t xml:space="preserve">It is often useful to calculate Age Standardised Incidence rates as well as Crude Incidence rates. </w:t>
      </w:r>
      <w:r w:rsidR="008B489C">
        <w:rPr>
          <w:rFonts w:cs="Arial"/>
          <w:color w:val="auto"/>
          <w:lang w:eastAsia="en-GB"/>
        </w:rPr>
        <w:t xml:space="preserve"> These are out of scope in the current version of this</w:t>
      </w:r>
      <w:r>
        <w:rPr>
          <w:rFonts w:cs="Arial"/>
          <w:color w:val="auto"/>
          <w:lang w:eastAsia="en-GB"/>
        </w:rPr>
        <w:t xml:space="preserve"> SOP, but should be born in mind when </w:t>
      </w:r>
      <w:proofErr w:type="spellStart"/>
      <w:r>
        <w:rPr>
          <w:rFonts w:cs="Arial"/>
          <w:color w:val="auto"/>
          <w:lang w:eastAsia="en-GB"/>
        </w:rPr>
        <w:t>chosing</w:t>
      </w:r>
      <w:proofErr w:type="spellEnd"/>
      <w:r>
        <w:rPr>
          <w:rFonts w:cs="Arial"/>
          <w:color w:val="auto"/>
          <w:lang w:eastAsia="en-GB"/>
        </w:rPr>
        <w:t xml:space="preserve"> the correct statistics to present.   </w:t>
      </w:r>
      <w:r w:rsidR="008B489C">
        <w:rPr>
          <w:rFonts w:cs="Arial"/>
          <w:color w:val="auto"/>
          <w:lang w:eastAsia="en-GB"/>
        </w:rPr>
        <w:t xml:space="preserve">There is on-going work to generalise this SOP to cover Age Standardised Rates and other rates such as mortality rates.  </w:t>
      </w:r>
    </w:p>
    <w:p w:rsidR="00393F6C" w:rsidRPr="00393F6C" w:rsidRDefault="00A516A9" w:rsidP="00407903">
      <w:pPr>
        <w:pStyle w:val="PHESecondaryHeadingOne"/>
        <w:rPr>
          <w:rFonts w:cs="Arial"/>
          <w:sz w:val="32"/>
        </w:rPr>
      </w:pPr>
      <w:r>
        <w:rPr>
          <w:rFonts w:cs="Arial"/>
          <w:sz w:val="32"/>
        </w:rPr>
        <w:t>2</w:t>
      </w:r>
      <w:r>
        <w:rPr>
          <w:rFonts w:cs="Arial"/>
          <w:sz w:val="32"/>
        </w:rPr>
        <w:tab/>
        <w:t xml:space="preserve">Defining the </w:t>
      </w:r>
      <w:r w:rsidR="00393F6C" w:rsidRPr="00393F6C">
        <w:rPr>
          <w:rFonts w:cs="Arial"/>
          <w:sz w:val="32"/>
        </w:rPr>
        <w:t>Crude Rate</w:t>
      </w:r>
    </w:p>
    <w:p w:rsidR="00D94EF7" w:rsidRDefault="00D94EF7" w:rsidP="00407903">
      <w:pPr>
        <w:pStyle w:val="PHESecondaryHeadingOne"/>
        <w:rPr>
          <w:rFonts w:cs="Arial"/>
          <w:color w:val="auto"/>
          <w:lang w:eastAsia="en-GB"/>
        </w:rPr>
      </w:pPr>
      <w:r>
        <w:rPr>
          <w:rFonts w:cs="Arial"/>
          <w:color w:val="auto"/>
          <w:lang w:eastAsia="en-GB"/>
        </w:rPr>
        <w:t>The crude rate</w:t>
      </w:r>
      <w:r w:rsidR="00393F6C" w:rsidRPr="00393F6C">
        <w:rPr>
          <w:rFonts w:cs="Arial"/>
          <w:color w:val="auto"/>
          <w:lang w:eastAsia="en-GB"/>
        </w:rPr>
        <w:t xml:space="preserve"> equal</w:t>
      </w:r>
      <w:r>
        <w:rPr>
          <w:rFonts w:cs="Arial"/>
          <w:color w:val="auto"/>
          <w:lang w:eastAsia="en-GB"/>
        </w:rPr>
        <w:t>s</w:t>
      </w:r>
      <w:r w:rsidR="00393F6C" w:rsidRPr="00393F6C">
        <w:rPr>
          <w:rFonts w:cs="Arial"/>
          <w:color w:val="auto"/>
          <w:lang w:eastAsia="en-GB"/>
        </w:rPr>
        <w:t xml:space="preserve"> the total number of new cancer cases diagnosed in a specific year in the population category of interest, divided by the at-risk population for that category</w:t>
      </w:r>
      <w:r>
        <w:rPr>
          <w:rFonts w:cs="Arial"/>
          <w:color w:val="auto"/>
          <w:lang w:eastAsia="en-GB"/>
        </w:rPr>
        <w:t>.  Cancer rates are usually given as 'rate per 100,000 people', and so are then</w:t>
      </w:r>
      <w:r w:rsidR="00393F6C" w:rsidRPr="00393F6C">
        <w:rPr>
          <w:rFonts w:cs="Arial"/>
          <w:color w:val="auto"/>
          <w:lang w:eastAsia="en-GB"/>
        </w:rPr>
        <w:t xml:space="preserve"> multiplied by 100,000</w:t>
      </w:r>
      <w:r>
        <w:rPr>
          <w:rFonts w:cs="Arial"/>
          <w:color w:val="auto"/>
          <w:lang w:eastAsia="en-GB"/>
        </w:rPr>
        <w:t xml:space="preserve">.  This is to give a number that is a more 'natural' size, so we can talk about rates of, </w:t>
      </w:r>
      <w:proofErr w:type="spellStart"/>
      <w:r>
        <w:rPr>
          <w:rFonts w:cs="Arial"/>
          <w:color w:val="auto"/>
          <w:lang w:eastAsia="en-GB"/>
        </w:rPr>
        <w:t>eg</w:t>
      </w:r>
      <w:proofErr w:type="spellEnd"/>
      <w:r>
        <w:rPr>
          <w:rFonts w:cs="Arial"/>
          <w:color w:val="auto"/>
          <w:lang w:eastAsia="en-GB"/>
        </w:rPr>
        <w:t xml:space="preserve">, '30', not '0.0003'.  </w:t>
      </w:r>
    </w:p>
    <w:p w:rsidR="00393F6C" w:rsidRDefault="00403C3A" w:rsidP="00407903">
      <w:pPr>
        <w:pStyle w:val="PHESecondaryHeadingOne"/>
        <w:rPr>
          <w:rFonts w:cs="Arial"/>
          <w:color w:val="auto"/>
          <w:lang w:eastAsia="en-GB"/>
        </w:rPr>
      </w:pPr>
      <m:oMathPara>
        <m:oMath>
          <m:r>
            <w:rPr>
              <w:rFonts w:ascii="Cambria Math" w:hAnsi="Cambria Math" w:cs="Arial"/>
              <w:color w:val="auto"/>
              <w:lang w:eastAsia="en-GB"/>
            </w:rPr>
            <m:t xml:space="preserve">Crude </m:t>
          </m:r>
          <m:r>
            <w:rPr>
              <w:rFonts w:ascii="Cambria Math" w:hAnsi="Cambria Math" w:cs="Arial"/>
              <w:color w:val="auto"/>
              <w:sz w:val="24"/>
              <w:lang w:eastAsia="en-GB"/>
            </w:rPr>
            <m:t>Rate</m:t>
          </m:r>
          <m:r>
            <w:rPr>
              <w:rFonts w:ascii="Cambria Math" w:hAnsi="Cambria Math" w:cs="Arial"/>
              <w:color w:val="auto"/>
              <w:lang w:eastAsia="en-GB"/>
            </w:rPr>
            <m:t xml:space="preserve">= </m:t>
          </m:r>
          <m:box>
            <m:boxPr>
              <m:ctrlPr>
                <w:rPr>
                  <w:rFonts w:ascii="Cambria Math" w:hAnsi="Cambria Math" w:cs="Arial"/>
                  <w:i/>
                  <w:color w:val="auto"/>
                  <w:lang w:eastAsia="en-GB"/>
                </w:rPr>
              </m:ctrlPr>
            </m:boxPr>
            <m:e>
              <m:argPr>
                <m:argSz m:val="-1"/>
              </m:argPr>
              <m:f>
                <m:fPr>
                  <m:ctrlPr>
                    <w:rPr>
                      <w:rFonts w:ascii="Cambria Math" w:hAnsi="Cambria Math" w:cs="Arial"/>
                      <w:i/>
                      <w:color w:val="auto"/>
                      <w:lang w:eastAsia="en-GB"/>
                    </w:rPr>
                  </m:ctrlPr>
                </m:fPr>
                <m:num>
                  <m:r>
                    <w:rPr>
                      <w:rFonts w:ascii="Cambria Math" w:hAnsi="Cambria Math" w:cs="Arial"/>
                      <w:color w:val="auto"/>
                      <w:lang w:eastAsia="en-GB"/>
                    </w:rPr>
                    <m:t>New Cancer Cases</m:t>
                  </m:r>
                </m:num>
                <m:den>
                  <m:r>
                    <w:rPr>
                      <w:rFonts w:ascii="Cambria Math" w:hAnsi="Cambria Math" w:cs="Arial"/>
                      <w:color w:val="auto"/>
                      <w:lang w:eastAsia="en-GB"/>
                    </w:rPr>
                    <m:t>At Risk population</m:t>
                  </m:r>
                </m:den>
              </m:f>
              <m:r>
                <w:rPr>
                  <w:rFonts w:ascii="Cambria Math" w:hAnsi="Cambria Math" w:cs="Arial"/>
                  <w:color w:val="auto"/>
                  <w:lang w:eastAsia="en-GB"/>
                </w:rPr>
                <m:t>*100,000</m:t>
              </m:r>
            </m:e>
          </m:box>
        </m:oMath>
      </m:oMathPara>
    </w:p>
    <w:p w:rsidR="008A3130" w:rsidRDefault="008A3130">
      <w:pPr>
        <w:rPr>
          <w:color w:val="98002E"/>
          <w:sz w:val="32"/>
        </w:rPr>
      </w:pPr>
    </w:p>
    <w:p w:rsidR="00D94EF7" w:rsidRPr="00D94EF7" w:rsidRDefault="00D94EF7" w:rsidP="00D94EF7">
      <w:pPr>
        <w:pStyle w:val="PHESecondaryHeadingOne"/>
        <w:rPr>
          <w:rFonts w:cs="Arial"/>
          <w:color w:val="auto"/>
          <w:lang w:eastAsia="en-GB"/>
        </w:rPr>
      </w:pPr>
      <w:r>
        <w:rPr>
          <w:rFonts w:cs="Arial"/>
          <w:color w:val="auto"/>
          <w:lang w:eastAsia="en-GB"/>
        </w:rPr>
        <w:lastRenderedPageBreak/>
        <w:t>For very rare cancers it is possible to give a rate per 1,000,000 people, but this must be made very clear as it should not be accidently compared to rates per 100,000 people.</w:t>
      </w:r>
    </w:p>
    <w:p w:rsidR="00D32023" w:rsidRDefault="00A516A9" w:rsidP="00393F6C">
      <w:pPr>
        <w:pStyle w:val="PHESecondaryHeadingOne"/>
        <w:rPr>
          <w:rFonts w:cs="Arial"/>
          <w:sz w:val="32"/>
        </w:rPr>
      </w:pPr>
      <w:r>
        <w:rPr>
          <w:rFonts w:cs="Arial"/>
          <w:sz w:val="32"/>
        </w:rPr>
        <w:t>3</w:t>
      </w:r>
      <w:r>
        <w:rPr>
          <w:rFonts w:cs="Arial"/>
          <w:sz w:val="32"/>
        </w:rPr>
        <w:tab/>
      </w:r>
      <w:r w:rsidR="00D32023">
        <w:rPr>
          <w:rFonts w:cs="Arial"/>
          <w:sz w:val="32"/>
        </w:rPr>
        <w:t>Defining the population of interest</w:t>
      </w:r>
    </w:p>
    <w:p w:rsidR="00D32023" w:rsidRDefault="00D32023" w:rsidP="00D32023">
      <w:pPr>
        <w:pStyle w:val="PHESecondaryHeadingOne"/>
        <w:spacing w:after="0"/>
        <w:rPr>
          <w:rFonts w:cs="Arial"/>
          <w:color w:val="auto"/>
          <w:lang w:eastAsia="en-GB"/>
        </w:rPr>
      </w:pPr>
      <w:r w:rsidRPr="00D32023">
        <w:rPr>
          <w:rFonts w:cs="Arial"/>
          <w:color w:val="auto"/>
          <w:lang w:eastAsia="en-GB"/>
        </w:rPr>
        <w:t xml:space="preserve">The population of interest </w:t>
      </w:r>
      <w:r>
        <w:rPr>
          <w:rFonts w:cs="Arial"/>
          <w:color w:val="auto"/>
          <w:lang w:eastAsia="en-GB"/>
        </w:rPr>
        <w:t>must be defined in the same way for the numerator and the denominator of the crude rate.  You will need to specify the population by defining at least</w:t>
      </w:r>
    </w:p>
    <w:p w:rsidR="00D32023" w:rsidRDefault="00D32023" w:rsidP="00D32023">
      <w:pPr>
        <w:pStyle w:val="PHESecondaryHeadingOne"/>
        <w:numPr>
          <w:ilvl w:val="0"/>
          <w:numId w:val="16"/>
        </w:numPr>
        <w:spacing w:after="0"/>
        <w:rPr>
          <w:rFonts w:cs="Arial"/>
          <w:color w:val="auto"/>
          <w:lang w:eastAsia="en-GB"/>
        </w:rPr>
      </w:pPr>
      <w:r>
        <w:rPr>
          <w:rFonts w:cs="Arial"/>
          <w:color w:val="auto"/>
          <w:lang w:eastAsia="en-GB"/>
        </w:rPr>
        <w:t>Time period (usually a single year, or a range of years)</w:t>
      </w:r>
    </w:p>
    <w:p w:rsidR="00D32023" w:rsidRDefault="00D32023" w:rsidP="00D32023">
      <w:pPr>
        <w:pStyle w:val="PHESecondaryHeadingOne"/>
        <w:numPr>
          <w:ilvl w:val="0"/>
          <w:numId w:val="16"/>
        </w:numPr>
        <w:spacing w:after="0"/>
        <w:rPr>
          <w:rFonts w:cs="Arial"/>
          <w:color w:val="auto"/>
          <w:lang w:eastAsia="en-GB"/>
        </w:rPr>
      </w:pPr>
      <w:r>
        <w:rPr>
          <w:rFonts w:cs="Arial"/>
          <w:color w:val="auto"/>
          <w:lang w:eastAsia="en-GB"/>
        </w:rPr>
        <w:t>Geography (such as all England, a region, or a CCG)</w:t>
      </w:r>
    </w:p>
    <w:p w:rsidR="00D32023" w:rsidRDefault="00D32023" w:rsidP="00D32023">
      <w:pPr>
        <w:pStyle w:val="PHESecondaryHeadingOne"/>
        <w:numPr>
          <w:ilvl w:val="0"/>
          <w:numId w:val="16"/>
        </w:numPr>
        <w:spacing w:after="0"/>
        <w:rPr>
          <w:rFonts w:cs="Arial"/>
          <w:color w:val="auto"/>
          <w:lang w:eastAsia="en-GB"/>
        </w:rPr>
      </w:pPr>
      <w:r>
        <w:rPr>
          <w:rFonts w:cs="Arial"/>
          <w:color w:val="auto"/>
          <w:lang w:eastAsia="en-GB"/>
        </w:rPr>
        <w:t>Sex (persons, males or females)</w:t>
      </w:r>
    </w:p>
    <w:p w:rsidR="00D32023" w:rsidRDefault="00D32023" w:rsidP="00D32023">
      <w:pPr>
        <w:pStyle w:val="PHESecondaryHeadingOne"/>
        <w:numPr>
          <w:ilvl w:val="0"/>
          <w:numId w:val="16"/>
        </w:numPr>
        <w:spacing w:after="0"/>
        <w:rPr>
          <w:rFonts w:cs="Arial"/>
          <w:color w:val="auto"/>
          <w:lang w:eastAsia="en-GB"/>
        </w:rPr>
      </w:pPr>
      <w:r>
        <w:rPr>
          <w:rFonts w:cs="Arial"/>
          <w:color w:val="auto"/>
          <w:lang w:eastAsia="en-GB"/>
        </w:rPr>
        <w:t>Age groups (all ages, or specific age ranges.  Note our population file only allows five year age bands for age groups)</w:t>
      </w:r>
    </w:p>
    <w:p w:rsidR="00D32023" w:rsidRDefault="00D32023" w:rsidP="00D32023">
      <w:pPr>
        <w:pStyle w:val="PHESecondaryHeadingOne"/>
        <w:spacing w:after="0"/>
        <w:rPr>
          <w:rFonts w:cs="Arial"/>
          <w:color w:val="auto"/>
          <w:lang w:eastAsia="en-GB"/>
        </w:rPr>
      </w:pPr>
    </w:p>
    <w:p w:rsidR="00A516A9" w:rsidRDefault="00A516A9" w:rsidP="00D32023">
      <w:pPr>
        <w:pStyle w:val="PHESecondaryHeadingOne"/>
        <w:spacing w:after="0"/>
        <w:rPr>
          <w:rFonts w:cs="Arial"/>
          <w:color w:val="auto"/>
          <w:lang w:eastAsia="en-GB"/>
        </w:rPr>
      </w:pPr>
      <w:r>
        <w:rPr>
          <w:rFonts w:cs="Arial"/>
          <w:color w:val="auto"/>
          <w:lang w:eastAsia="en-GB"/>
        </w:rPr>
        <w:t>If your population of interest is one of the standard populations t</w:t>
      </w:r>
      <w:r w:rsidR="004E5E38">
        <w:rPr>
          <w:rFonts w:cs="Arial"/>
          <w:color w:val="auto"/>
          <w:lang w:eastAsia="en-GB"/>
        </w:rPr>
        <w:t>hat is available in C</w:t>
      </w:r>
      <w:r>
        <w:rPr>
          <w:rFonts w:cs="Arial"/>
          <w:color w:val="auto"/>
          <w:lang w:eastAsia="en-GB"/>
        </w:rPr>
        <w:t>ancerstats</w:t>
      </w:r>
      <w:r w:rsidR="004E5E38">
        <w:rPr>
          <w:rFonts w:cs="Arial"/>
          <w:color w:val="auto"/>
          <w:lang w:eastAsia="en-GB"/>
        </w:rPr>
        <w:t xml:space="preserve"> this SOP recommends you extract the crude rates from Cancerstats (where you will also find the age standardised rates for the same cohort).  If it is not, you will need to extract the data from the CAS for your population of interest, by following the rest of this SOP.</w:t>
      </w:r>
      <w:r>
        <w:rPr>
          <w:rFonts w:cs="Arial"/>
          <w:color w:val="auto"/>
          <w:lang w:eastAsia="en-GB"/>
        </w:rPr>
        <w:t xml:space="preserve"> </w:t>
      </w:r>
    </w:p>
    <w:p w:rsidR="00D94EF7" w:rsidRDefault="00D94EF7" w:rsidP="00D32023">
      <w:pPr>
        <w:pStyle w:val="PHESecondaryHeadingOne"/>
        <w:spacing w:after="0"/>
        <w:rPr>
          <w:rFonts w:cs="Arial"/>
          <w:color w:val="auto"/>
          <w:lang w:eastAsia="en-GB"/>
        </w:rPr>
      </w:pPr>
    </w:p>
    <w:p w:rsidR="00D94EF7" w:rsidRDefault="00D94EF7" w:rsidP="00D32023">
      <w:pPr>
        <w:pStyle w:val="PHESecondaryHeadingOne"/>
        <w:spacing w:after="0"/>
        <w:rPr>
          <w:rFonts w:cs="Arial"/>
          <w:color w:val="auto"/>
          <w:lang w:eastAsia="en-GB"/>
        </w:rPr>
      </w:pPr>
      <w:r>
        <w:rPr>
          <w:rFonts w:cs="Arial"/>
          <w:color w:val="auto"/>
          <w:lang w:eastAsia="en-GB"/>
        </w:rPr>
        <w:t xml:space="preserve">The population of interest could also be defined by other </w:t>
      </w:r>
      <w:proofErr w:type="spellStart"/>
      <w:r>
        <w:rPr>
          <w:rFonts w:cs="Arial"/>
          <w:color w:val="auto"/>
          <w:lang w:eastAsia="en-GB"/>
        </w:rPr>
        <w:t>charactoristics</w:t>
      </w:r>
      <w:proofErr w:type="spellEnd"/>
      <w:r>
        <w:rPr>
          <w:rFonts w:cs="Arial"/>
          <w:color w:val="auto"/>
          <w:lang w:eastAsia="en-GB"/>
        </w:rPr>
        <w:t xml:space="preserve">, such as deprivation or ethnicity.  The important thing is that the population as defined for the numerator 'new cancer cases' must be equivalent to the population defined for the denominator 'at risk population'.  </w:t>
      </w:r>
    </w:p>
    <w:p w:rsidR="00A516A9" w:rsidRPr="00D32023" w:rsidRDefault="00A516A9" w:rsidP="00D32023">
      <w:pPr>
        <w:pStyle w:val="PHESecondaryHeadingOne"/>
        <w:spacing w:after="0"/>
        <w:rPr>
          <w:rFonts w:cs="Arial"/>
          <w:color w:val="auto"/>
          <w:lang w:eastAsia="en-GB"/>
        </w:rPr>
      </w:pPr>
    </w:p>
    <w:p w:rsidR="00393F6C" w:rsidRPr="00393F6C" w:rsidRDefault="00A516A9" w:rsidP="00393F6C">
      <w:pPr>
        <w:pStyle w:val="PHESecondaryHeadingOne"/>
        <w:rPr>
          <w:rFonts w:cs="Arial"/>
          <w:sz w:val="32"/>
        </w:rPr>
      </w:pPr>
      <w:r>
        <w:rPr>
          <w:rFonts w:cs="Arial"/>
          <w:sz w:val="32"/>
        </w:rPr>
        <w:t>4</w:t>
      </w:r>
      <w:r>
        <w:rPr>
          <w:rFonts w:cs="Arial"/>
          <w:sz w:val="32"/>
        </w:rPr>
        <w:tab/>
      </w:r>
      <w:r w:rsidR="00393F6C">
        <w:rPr>
          <w:rFonts w:cs="Arial"/>
          <w:sz w:val="32"/>
        </w:rPr>
        <w:t>Total number of new cancer cases</w:t>
      </w:r>
    </w:p>
    <w:p w:rsidR="00393F6C" w:rsidRDefault="00D32023" w:rsidP="00407903">
      <w:pPr>
        <w:pStyle w:val="PHESecondaryHeadingOne"/>
        <w:rPr>
          <w:rFonts w:cs="Arial"/>
          <w:color w:val="auto"/>
          <w:lang w:eastAsia="en-GB"/>
        </w:rPr>
      </w:pPr>
      <w:r>
        <w:rPr>
          <w:rFonts w:cs="Arial"/>
          <w:color w:val="auto"/>
          <w:lang w:eastAsia="en-GB"/>
        </w:rPr>
        <w:t xml:space="preserve">The total number of new cancer cases should be counted following CASSOP #1, defining a standard incidence cohort for your cancer of interest, with filters for your population of interest.  </w:t>
      </w:r>
    </w:p>
    <w:p w:rsidR="008B489C" w:rsidRDefault="008B489C" w:rsidP="008B489C">
      <w:pPr>
        <w:pStyle w:val="PHESecondaryHeadingOne"/>
        <w:rPr>
          <w:rFonts w:cs="Arial"/>
          <w:color w:val="auto"/>
          <w:lang w:eastAsia="en-GB"/>
        </w:rPr>
      </w:pPr>
      <w:r>
        <w:rPr>
          <w:rFonts w:cs="Arial"/>
          <w:color w:val="auto"/>
          <w:lang w:eastAsia="en-GB"/>
        </w:rPr>
        <w:t xml:space="preserve">You should choose the snapshot to run your query on carefully.  The data should be signed off as finished for the time period you wish to calculate incidence rates for.  Generally, the most recent annual snapshot in CASREF01 is the recommended choice. This snapshot is the basis for figures in </w:t>
      </w:r>
      <w:proofErr w:type="spellStart"/>
      <w:r>
        <w:rPr>
          <w:rFonts w:cs="Arial"/>
          <w:color w:val="auto"/>
          <w:lang w:eastAsia="en-GB"/>
        </w:rPr>
        <w:t>CancerStats</w:t>
      </w:r>
      <w:proofErr w:type="spellEnd"/>
      <w:r>
        <w:rPr>
          <w:rFonts w:cs="Arial"/>
          <w:color w:val="auto"/>
          <w:lang w:eastAsia="en-GB"/>
        </w:rPr>
        <w:t>/</w:t>
      </w:r>
      <w:proofErr w:type="spellStart"/>
      <w:r>
        <w:rPr>
          <w:rFonts w:cs="Arial"/>
          <w:color w:val="auto"/>
          <w:lang w:eastAsia="en-GB"/>
        </w:rPr>
        <w:t>CancerData</w:t>
      </w:r>
      <w:proofErr w:type="spellEnd"/>
      <w:r>
        <w:rPr>
          <w:rFonts w:cs="Arial"/>
          <w:color w:val="auto"/>
          <w:lang w:eastAsia="en-GB"/>
        </w:rPr>
        <w:t xml:space="preserve">, the National Statistics and will normally be available for longer than a monthly snapshot. </w:t>
      </w:r>
      <w:r w:rsidRPr="008B2B25">
        <w:rPr>
          <w:rFonts w:cs="Arial"/>
          <w:i/>
          <w:color w:val="auto"/>
          <w:lang w:eastAsia="en-GB"/>
        </w:rPr>
        <w:t>(This is really useful when a requester seeks clarification several months after the information is first issued.)</w:t>
      </w:r>
    </w:p>
    <w:p w:rsidR="008B489C" w:rsidRDefault="008B489C" w:rsidP="008B489C">
      <w:pPr>
        <w:pStyle w:val="PHESecondaryHeadingOne"/>
        <w:rPr>
          <w:rFonts w:cs="Arial"/>
          <w:color w:val="auto"/>
          <w:lang w:eastAsia="en-GB"/>
        </w:rPr>
      </w:pPr>
      <w:r>
        <w:rPr>
          <w:rFonts w:cs="Arial"/>
          <w:color w:val="auto"/>
          <w:lang w:eastAsia="en-GB"/>
        </w:rPr>
        <w:lastRenderedPageBreak/>
        <w:t xml:space="preserve">Please seek guidance from a member of the Analytical SLT if you think this snapshot will not meet your needs, so they can help you find a suitable alternative.  [At the time of writing AV2015.AV_TUMOUR on CASREF01 was the most recent annual snapshot, and is based on the </w:t>
      </w:r>
      <w:r>
        <w:rPr>
          <w:rFonts w:cs="Arial"/>
          <w:color w:val="auto"/>
          <w:lang w:eastAsia="en-GB"/>
        </w:rPr>
        <w:t>CAS161</w:t>
      </w:r>
      <w:r>
        <w:rPr>
          <w:rFonts w:cs="Arial"/>
          <w:color w:val="auto"/>
          <w:lang w:eastAsia="en-GB"/>
        </w:rPr>
        <w:t xml:space="preserve">2 snapshot.]  </w:t>
      </w:r>
    </w:p>
    <w:p w:rsidR="008B489C" w:rsidRDefault="008B489C" w:rsidP="008B489C">
      <w:pPr>
        <w:pStyle w:val="PHESecondaryHeadingOne"/>
        <w:rPr>
          <w:rFonts w:cs="Arial"/>
          <w:color w:val="auto"/>
          <w:lang w:eastAsia="en-GB"/>
        </w:rPr>
      </w:pPr>
      <w:r w:rsidRPr="008B2B25">
        <w:rPr>
          <w:rFonts w:cs="Arial"/>
          <w:b/>
          <w:color w:val="auto"/>
          <w:lang w:eastAsia="en-GB"/>
        </w:rPr>
        <w:t>Always</w:t>
      </w:r>
      <w:r>
        <w:rPr>
          <w:rFonts w:cs="Arial"/>
          <w:color w:val="auto"/>
          <w:lang w:eastAsia="en-GB"/>
        </w:rPr>
        <w:t xml:space="preserve"> document the snapshot and table that was used in your code and metadata.</w:t>
      </w:r>
    </w:p>
    <w:p w:rsidR="00D94EF7" w:rsidRDefault="00A36CD2" w:rsidP="00D94EF7">
      <w:pPr>
        <w:pStyle w:val="PHESecondaryHeadingOne"/>
        <w:rPr>
          <w:sz w:val="32"/>
        </w:rPr>
      </w:pPr>
      <w:r>
        <w:rPr>
          <w:rFonts w:cs="Arial"/>
          <w:color w:val="auto"/>
          <w:lang w:eastAsia="en-GB"/>
        </w:rPr>
        <w:t xml:space="preserve">Reference Code 1 gives </w:t>
      </w:r>
      <w:r w:rsidR="00D32023">
        <w:rPr>
          <w:rFonts w:cs="Arial"/>
          <w:color w:val="auto"/>
          <w:lang w:eastAsia="en-GB"/>
        </w:rPr>
        <w:t xml:space="preserve">example code for counting all liver cancers (C22) in 2013, for men aged 50 and over, </w:t>
      </w:r>
      <w:r w:rsidR="00EB506B">
        <w:rPr>
          <w:rFonts w:cs="Arial"/>
          <w:color w:val="auto"/>
          <w:lang w:eastAsia="en-GB"/>
        </w:rPr>
        <w:t>for all England</w:t>
      </w:r>
      <w:r w:rsidR="00D32023">
        <w:rPr>
          <w:rFonts w:cs="Arial"/>
          <w:color w:val="auto"/>
          <w:lang w:eastAsia="en-GB"/>
        </w:rPr>
        <w:t>.</w:t>
      </w:r>
    </w:p>
    <w:p w:rsidR="00D32023" w:rsidRPr="004042E1" w:rsidRDefault="00A516A9" w:rsidP="00407903">
      <w:pPr>
        <w:pStyle w:val="PHESecondaryHeadingOne"/>
        <w:rPr>
          <w:rFonts w:cs="Arial"/>
          <w:sz w:val="32"/>
        </w:rPr>
      </w:pPr>
      <w:r>
        <w:rPr>
          <w:rFonts w:cs="Arial"/>
          <w:sz w:val="32"/>
        </w:rPr>
        <w:t>5</w:t>
      </w:r>
      <w:r>
        <w:rPr>
          <w:rFonts w:cs="Arial"/>
          <w:sz w:val="32"/>
        </w:rPr>
        <w:tab/>
      </w:r>
      <w:r w:rsidR="004042E1" w:rsidRPr="004042E1">
        <w:rPr>
          <w:rFonts w:cs="Arial"/>
          <w:sz w:val="32"/>
        </w:rPr>
        <w:t>At Risk Population</w:t>
      </w:r>
    </w:p>
    <w:p w:rsidR="002512E1" w:rsidRDefault="002512E1" w:rsidP="00407903">
      <w:pPr>
        <w:pStyle w:val="PHESecondaryHeadingOne"/>
        <w:rPr>
          <w:rFonts w:cs="Arial"/>
          <w:color w:val="auto"/>
          <w:lang w:eastAsia="en-GB"/>
        </w:rPr>
      </w:pPr>
      <w:r>
        <w:rPr>
          <w:rFonts w:cs="Arial"/>
          <w:color w:val="auto"/>
          <w:lang w:eastAsia="en-GB"/>
        </w:rPr>
        <w:t xml:space="preserve">The total number of people in </w:t>
      </w:r>
      <w:proofErr w:type="gramStart"/>
      <w:r>
        <w:rPr>
          <w:rFonts w:cs="Arial"/>
          <w:color w:val="auto"/>
          <w:lang w:eastAsia="en-GB"/>
        </w:rPr>
        <w:t>the at</w:t>
      </w:r>
      <w:proofErr w:type="gramEnd"/>
      <w:r>
        <w:rPr>
          <w:rFonts w:cs="Arial"/>
          <w:color w:val="auto"/>
          <w:lang w:eastAsia="en-GB"/>
        </w:rPr>
        <w:t xml:space="preserve"> risk population should be summed from the population tables on CASREF01, using the same filters for the same population of interest as were used to count the cancer cases.</w:t>
      </w:r>
    </w:p>
    <w:p w:rsidR="002512E1" w:rsidRDefault="002512E1" w:rsidP="00407903">
      <w:pPr>
        <w:pStyle w:val="PHESecondaryHeadingOne"/>
        <w:rPr>
          <w:rFonts w:cs="Arial"/>
          <w:color w:val="auto"/>
          <w:lang w:eastAsia="en-GB"/>
        </w:rPr>
      </w:pPr>
      <w:r>
        <w:rPr>
          <w:rFonts w:cs="Arial"/>
          <w:color w:val="auto"/>
          <w:lang w:eastAsia="en-GB"/>
        </w:rPr>
        <w:t xml:space="preserve">The most recent population tables should be used in almost all circumstances.  At the time of writing this was </w:t>
      </w:r>
      <w:r w:rsidRPr="002512E1">
        <w:rPr>
          <w:rFonts w:cs="Arial"/>
          <w:color w:val="auto"/>
          <w:lang w:eastAsia="en-GB"/>
        </w:rPr>
        <w:t>ons2015.populations_normalised</w:t>
      </w:r>
      <w:r>
        <w:rPr>
          <w:rFonts w:cs="Arial"/>
          <w:color w:val="auto"/>
          <w:lang w:eastAsia="en-GB"/>
        </w:rPr>
        <w:t xml:space="preserve"> on CASREF01.  </w:t>
      </w:r>
    </w:p>
    <w:p w:rsidR="008B489C" w:rsidRDefault="008B489C" w:rsidP="00407903">
      <w:pPr>
        <w:pStyle w:val="PHESecondaryHeadingOne"/>
        <w:rPr>
          <w:rFonts w:cs="Arial"/>
          <w:color w:val="auto"/>
          <w:lang w:eastAsia="en-GB"/>
        </w:rPr>
      </w:pPr>
      <w:r>
        <w:rPr>
          <w:rFonts w:cs="Arial"/>
          <w:color w:val="auto"/>
          <w:lang w:eastAsia="en-GB"/>
        </w:rPr>
        <w:t xml:space="preserve">Again, </w:t>
      </w:r>
      <w:r w:rsidRPr="008B2B25">
        <w:rPr>
          <w:rFonts w:cs="Arial"/>
          <w:b/>
          <w:color w:val="auto"/>
          <w:lang w:eastAsia="en-GB"/>
        </w:rPr>
        <w:t>always</w:t>
      </w:r>
      <w:r>
        <w:rPr>
          <w:rFonts w:cs="Arial"/>
          <w:color w:val="auto"/>
          <w:lang w:eastAsia="en-GB"/>
        </w:rPr>
        <w:t xml:space="preserve"> document the population table and which snapshot was used.</w:t>
      </w:r>
    </w:p>
    <w:p w:rsidR="002512E1" w:rsidRDefault="00A36CD2" w:rsidP="00407903">
      <w:pPr>
        <w:pStyle w:val="PHESecondaryHeadingOne"/>
        <w:rPr>
          <w:rFonts w:cs="Arial"/>
          <w:color w:val="auto"/>
          <w:lang w:eastAsia="en-GB"/>
        </w:rPr>
      </w:pPr>
      <w:r>
        <w:rPr>
          <w:rFonts w:cs="Arial"/>
          <w:color w:val="auto"/>
          <w:lang w:eastAsia="en-GB"/>
        </w:rPr>
        <w:t xml:space="preserve">Reference Code 2 gives </w:t>
      </w:r>
      <w:r w:rsidR="002512E1">
        <w:rPr>
          <w:rFonts w:cs="Arial"/>
          <w:color w:val="auto"/>
          <w:lang w:eastAsia="en-GB"/>
        </w:rPr>
        <w:t>example code for counting the at risk population in 2013, of men aged 50 and over, for all England.</w:t>
      </w:r>
    </w:p>
    <w:p w:rsidR="002512E1" w:rsidRDefault="00A516A9" w:rsidP="00407903">
      <w:pPr>
        <w:pStyle w:val="PHESecondaryHeadingOne"/>
        <w:rPr>
          <w:rFonts w:cs="Arial"/>
          <w:sz w:val="32"/>
        </w:rPr>
      </w:pPr>
      <w:r>
        <w:rPr>
          <w:rFonts w:cs="Arial"/>
          <w:sz w:val="32"/>
        </w:rPr>
        <w:t>6</w:t>
      </w:r>
      <w:r>
        <w:rPr>
          <w:rFonts w:cs="Arial"/>
          <w:sz w:val="32"/>
        </w:rPr>
        <w:tab/>
      </w:r>
      <w:r w:rsidR="002512E1">
        <w:rPr>
          <w:rFonts w:cs="Arial"/>
          <w:sz w:val="32"/>
        </w:rPr>
        <w:t xml:space="preserve">Calculating the Crude </w:t>
      </w:r>
      <w:r w:rsidR="002512E1" w:rsidRPr="002512E1">
        <w:rPr>
          <w:rFonts w:cs="Arial"/>
          <w:sz w:val="32"/>
        </w:rPr>
        <w:t>Rate</w:t>
      </w:r>
    </w:p>
    <w:p w:rsidR="00A516A9" w:rsidRDefault="00A516A9" w:rsidP="00407903">
      <w:pPr>
        <w:pStyle w:val="PHESecondaryHeadingOne"/>
        <w:rPr>
          <w:rFonts w:cs="Arial"/>
          <w:color w:val="auto"/>
          <w:lang w:eastAsia="en-GB"/>
        </w:rPr>
      </w:pPr>
      <w:r w:rsidRPr="00A516A9">
        <w:rPr>
          <w:rFonts w:cs="Arial"/>
          <w:color w:val="auto"/>
          <w:lang w:eastAsia="en-GB"/>
        </w:rPr>
        <w:t xml:space="preserve">The Crude Rate can be calculated by </w:t>
      </w:r>
      <w:r>
        <w:rPr>
          <w:rFonts w:cs="Arial"/>
          <w:color w:val="auto"/>
          <w:lang w:eastAsia="en-GB"/>
        </w:rPr>
        <w:t>inserting the numbers produced in sections 4 and 5 into the formula defined in section 2:</w:t>
      </w:r>
    </w:p>
    <w:p w:rsidR="00A516A9" w:rsidRDefault="00A516A9" w:rsidP="00A516A9">
      <w:pPr>
        <w:pStyle w:val="PHESecondaryHeadingOne"/>
        <w:rPr>
          <w:rFonts w:cs="Arial"/>
          <w:color w:val="auto"/>
          <w:lang w:eastAsia="en-GB"/>
        </w:rPr>
      </w:pPr>
      <m:oMathPara>
        <m:oMath>
          <m:r>
            <w:rPr>
              <w:rFonts w:ascii="Cambria Math" w:hAnsi="Cambria Math" w:cs="Arial"/>
              <w:color w:val="auto"/>
              <w:lang w:eastAsia="en-GB"/>
            </w:rPr>
            <m:t xml:space="preserve">Crude </m:t>
          </m:r>
          <m:r>
            <w:rPr>
              <w:rFonts w:ascii="Cambria Math" w:hAnsi="Cambria Math" w:cs="Arial"/>
              <w:color w:val="auto"/>
              <w:sz w:val="24"/>
              <w:lang w:eastAsia="en-GB"/>
            </w:rPr>
            <m:t>Rate</m:t>
          </m:r>
          <m:r>
            <w:rPr>
              <w:rFonts w:ascii="Cambria Math" w:hAnsi="Cambria Math" w:cs="Arial"/>
              <w:color w:val="auto"/>
              <w:lang w:eastAsia="en-GB"/>
            </w:rPr>
            <m:t xml:space="preserve">= </m:t>
          </m:r>
          <m:box>
            <m:boxPr>
              <m:ctrlPr>
                <w:rPr>
                  <w:rFonts w:ascii="Cambria Math" w:hAnsi="Cambria Math" w:cs="Arial"/>
                  <w:i/>
                  <w:color w:val="auto"/>
                  <w:lang w:eastAsia="en-GB"/>
                </w:rPr>
              </m:ctrlPr>
            </m:boxPr>
            <m:e>
              <m:argPr>
                <m:argSz m:val="-1"/>
              </m:argPr>
              <m:f>
                <m:fPr>
                  <m:ctrlPr>
                    <w:rPr>
                      <w:rFonts w:ascii="Cambria Math" w:hAnsi="Cambria Math" w:cs="Arial"/>
                      <w:i/>
                      <w:color w:val="auto"/>
                      <w:lang w:eastAsia="en-GB"/>
                    </w:rPr>
                  </m:ctrlPr>
                </m:fPr>
                <m:num>
                  <m:r>
                    <w:rPr>
                      <w:rFonts w:ascii="Cambria Math" w:hAnsi="Cambria Math" w:cs="Arial"/>
                      <w:color w:val="auto"/>
                      <w:lang w:eastAsia="en-GB"/>
                    </w:rPr>
                    <m:t>New Ca</m:t>
                  </m:r>
                  <m:r>
                    <w:rPr>
                      <w:rFonts w:ascii="Cambria Math" w:hAnsi="Cambria Math" w:cs="Arial"/>
                      <w:color w:val="auto"/>
                      <w:lang w:eastAsia="en-GB"/>
                    </w:rPr>
                    <m:t>ncer Cases</m:t>
                  </m:r>
                </m:num>
                <m:den>
                  <m:r>
                    <w:rPr>
                      <w:rFonts w:ascii="Cambria Math" w:hAnsi="Cambria Math" w:cs="Arial"/>
                      <w:color w:val="auto"/>
                      <w:lang w:eastAsia="en-GB"/>
                    </w:rPr>
                    <m:t>At Risk population</m:t>
                  </m:r>
                </m:den>
              </m:f>
              <m:r>
                <w:rPr>
                  <w:rFonts w:ascii="Cambria Math" w:hAnsi="Cambria Math" w:cs="Arial"/>
                  <w:color w:val="auto"/>
                  <w:lang w:eastAsia="en-GB"/>
                </w:rPr>
                <m:t>*100,000</m:t>
              </m:r>
            </m:e>
          </m:box>
        </m:oMath>
      </m:oMathPara>
    </w:p>
    <w:p w:rsidR="00A516A9" w:rsidRPr="004E5E38" w:rsidRDefault="00A516A9" w:rsidP="00A516A9">
      <w:pPr>
        <w:pStyle w:val="PHESecondaryHeadingOne"/>
        <w:rPr>
          <w:rFonts w:cs="Arial"/>
          <w:color w:val="auto"/>
          <w:lang w:eastAsia="en-GB"/>
        </w:rPr>
      </w:pPr>
      <w:r w:rsidRPr="00A516A9">
        <w:rPr>
          <w:rFonts w:cs="Arial"/>
          <w:color w:val="auto"/>
          <w:lang w:eastAsia="en-GB"/>
        </w:rPr>
        <w:t xml:space="preserve">An easy way to do this for a small number of rates is using the </w:t>
      </w:r>
      <w:r>
        <w:rPr>
          <w:rFonts w:cs="Arial"/>
          <w:color w:val="auto"/>
          <w:lang w:eastAsia="en-GB"/>
        </w:rPr>
        <w:t xml:space="preserve">Excel spreadsheet, </w:t>
      </w:r>
      <w:r w:rsidR="008B489C">
        <w:rPr>
          <w:rFonts w:cs="Arial"/>
          <w:i/>
          <w:color w:val="auto"/>
          <w:lang w:eastAsia="en-GB"/>
        </w:rPr>
        <w:t>CASSOP 5</w:t>
      </w:r>
      <w:r w:rsidR="004E5E38" w:rsidRPr="00D32023">
        <w:rPr>
          <w:rFonts w:cs="Arial"/>
          <w:i/>
          <w:color w:val="auto"/>
          <w:lang w:eastAsia="en-GB"/>
        </w:rPr>
        <w:t xml:space="preserve"> Crude </w:t>
      </w:r>
      <w:r w:rsidR="004E5E38">
        <w:rPr>
          <w:rFonts w:cs="Arial"/>
          <w:i/>
          <w:color w:val="auto"/>
          <w:lang w:eastAsia="en-GB"/>
        </w:rPr>
        <w:t xml:space="preserve">Incidence </w:t>
      </w:r>
      <w:proofErr w:type="gramStart"/>
      <w:r w:rsidR="004E5E38" w:rsidRPr="00D32023">
        <w:rPr>
          <w:rFonts w:cs="Arial"/>
          <w:i/>
          <w:color w:val="auto"/>
          <w:lang w:eastAsia="en-GB"/>
        </w:rPr>
        <w:t>Rates.xlsx</w:t>
      </w:r>
      <w:r w:rsidR="004E5E38">
        <w:rPr>
          <w:rFonts w:cs="Arial"/>
          <w:i/>
          <w:color w:val="auto"/>
          <w:lang w:eastAsia="en-GB"/>
        </w:rPr>
        <w:t xml:space="preserve"> .</w:t>
      </w:r>
      <w:proofErr w:type="gramEnd"/>
      <w:r w:rsidR="004E5E38">
        <w:rPr>
          <w:rFonts w:cs="Arial"/>
          <w:color w:val="auto"/>
          <w:lang w:eastAsia="en-GB"/>
        </w:rPr>
        <w:t xml:space="preserve"> There are also standard STATA scripts that are available to do these calculations (the next draft of this SOP should include more details on these, John Broggio can be contacted for more details).</w:t>
      </w:r>
    </w:p>
    <w:p w:rsidR="002512E1" w:rsidRDefault="007D343F" w:rsidP="00407903">
      <w:pPr>
        <w:pStyle w:val="PHESecondaryHeadingOne"/>
        <w:rPr>
          <w:rFonts w:cs="Arial"/>
          <w:sz w:val="32"/>
        </w:rPr>
      </w:pPr>
      <w:r>
        <w:rPr>
          <w:rFonts w:cs="Arial"/>
          <w:sz w:val="32"/>
        </w:rPr>
        <w:t>7</w:t>
      </w:r>
      <w:r>
        <w:rPr>
          <w:rFonts w:cs="Arial"/>
          <w:sz w:val="32"/>
        </w:rPr>
        <w:tab/>
      </w:r>
      <w:r w:rsidR="002512E1">
        <w:rPr>
          <w:rFonts w:cs="Arial"/>
          <w:sz w:val="32"/>
        </w:rPr>
        <w:t>Calculating the Confidence Intervals.</w:t>
      </w:r>
    </w:p>
    <w:p w:rsidR="00D05AE0" w:rsidRDefault="00D05AE0" w:rsidP="00407903">
      <w:pPr>
        <w:pStyle w:val="PHESecondaryHeadingOne"/>
        <w:rPr>
          <w:rFonts w:cs="Arial"/>
          <w:color w:val="auto"/>
          <w:lang w:eastAsia="en-GB"/>
        </w:rPr>
      </w:pPr>
      <w:r>
        <w:rPr>
          <w:rFonts w:cs="Arial"/>
          <w:color w:val="auto"/>
          <w:lang w:eastAsia="en-GB"/>
        </w:rPr>
        <w:t xml:space="preserve">In some senses, the crude rate is a precise point measurement - the cancer registry collects population level data, so this is not an 'estimate' of the rate based </w:t>
      </w:r>
      <w:r>
        <w:rPr>
          <w:rFonts w:cs="Arial"/>
          <w:color w:val="auto"/>
          <w:lang w:eastAsia="en-GB"/>
        </w:rPr>
        <w:lastRenderedPageBreak/>
        <w:t>on sampling.  However, as well as the crude rate being the measurement of what happened, the crude rate can be viewed as an estimate of the underlying risk of cancer in the population.  When viewed in this second sense it is meaningful to put confidence intervals around the rate, to see if the risk in different populations is statistically significantly different.</w:t>
      </w:r>
    </w:p>
    <w:p w:rsidR="00D05AE0" w:rsidRDefault="005A4513" w:rsidP="00407903">
      <w:pPr>
        <w:pStyle w:val="PHESecondaryHeadingOne"/>
        <w:rPr>
          <w:rFonts w:cs="Arial"/>
          <w:color w:val="auto"/>
          <w:lang w:eastAsia="en-GB"/>
        </w:rPr>
      </w:pPr>
      <w:r>
        <w:rPr>
          <w:rFonts w:cs="Arial"/>
          <w:color w:val="auto"/>
          <w:lang w:eastAsia="en-GB"/>
        </w:rPr>
        <w:t xml:space="preserve">As discussed in the </w:t>
      </w:r>
      <w:r w:rsidRPr="005A4513">
        <w:rPr>
          <w:rFonts w:cs="Arial"/>
          <w:i/>
          <w:color w:val="auto"/>
          <w:lang w:eastAsia="en-GB"/>
        </w:rPr>
        <w:t>APHO Technical Briefing 3 - Commonly Used Public Health Statistics and their Confidence Intervals</w:t>
      </w:r>
      <w:r>
        <w:rPr>
          <w:rFonts w:cs="Arial"/>
          <w:color w:val="auto"/>
          <w:lang w:eastAsia="en-GB"/>
        </w:rPr>
        <w:t xml:space="preserve">, the rates can be approximately described by a Poisson distribution, and confidence intervals around them produced according to this.  For small observed counts a precise confidence interval can be calculated using Poisson functions, and for larger numbers </w:t>
      </w:r>
      <w:proofErr w:type="spellStart"/>
      <w:r>
        <w:rPr>
          <w:rFonts w:cs="Arial"/>
          <w:color w:val="auto"/>
          <w:lang w:eastAsia="en-GB"/>
        </w:rPr>
        <w:t>Byar's</w:t>
      </w:r>
      <w:proofErr w:type="spellEnd"/>
      <w:r>
        <w:rPr>
          <w:rFonts w:cs="Arial"/>
          <w:color w:val="auto"/>
          <w:lang w:eastAsia="en-GB"/>
        </w:rPr>
        <w:t xml:space="preserve"> approximation can be used.  The details of this are given in Appendix A</w:t>
      </w:r>
    </w:p>
    <w:p w:rsidR="005A4513" w:rsidRDefault="005A4513" w:rsidP="008A3130">
      <w:pPr>
        <w:pStyle w:val="PHESecondaryHeadingOne"/>
      </w:pPr>
      <w:r>
        <w:rPr>
          <w:rFonts w:cs="Arial"/>
          <w:color w:val="auto"/>
          <w:lang w:eastAsia="en-GB"/>
        </w:rPr>
        <w:t xml:space="preserve">These confidence intervals are implemented in the </w:t>
      </w:r>
      <w:proofErr w:type="spellStart"/>
      <w:r w:rsidRPr="00A516A9">
        <w:rPr>
          <w:rFonts w:cs="Arial"/>
          <w:color w:val="auto"/>
          <w:lang w:eastAsia="en-GB"/>
        </w:rPr>
        <w:t>the</w:t>
      </w:r>
      <w:proofErr w:type="spellEnd"/>
      <w:r w:rsidRPr="00A516A9">
        <w:rPr>
          <w:rFonts w:cs="Arial"/>
          <w:color w:val="auto"/>
          <w:lang w:eastAsia="en-GB"/>
        </w:rPr>
        <w:t xml:space="preserve"> </w:t>
      </w:r>
      <w:r>
        <w:rPr>
          <w:rFonts w:cs="Arial"/>
          <w:color w:val="auto"/>
          <w:lang w:eastAsia="en-GB"/>
        </w:rPr>
        <w:t xml:space="preserve">Excel spreadsheet, </w:t>
      </w:r>
      <w:r w:rsidR="008B489C">
        <w:rPr>
          <w:rFonts w:cs="Arial"/>
          <w:i/>
          <w:color w:val="auto"/>
          <w:lang w:eastAsia="en-GB"/>
        </w:rPr>
        <w:t>CASSOP 5</w:t>
      </w:r>
      <w:r w:rsidRPr="00D32023">
        <w:rPr>
          <w:rFonts w:cs="Arial"/>
          <w:i/>
          <w:color w:val="auto"/>
          <w:lang w:eastAsia="en-GB"/>
        </w:rPr>
        <w:t xml:space="preserve"> Crude </w:t>
      </w:r>
      <w:r>
        <w:rPr>
          <w:rFonts w:cs="Arial"/>
          <w:i/>
          <w:color w:val="auto"/>
          <w:lang w:eastAsia="en-GB"/>
        </w:rPr>
        <w:t xml:space="preserve">Incidence </w:t>
      </w:r>
      <w:r w:rsidRPr="00D32023">
        <w:rPr>
          <w:rFonts w:cs="Arial"/>
          <w:i/>
          <w:color w:val="auto"/>
          <w:lang w:eastAsia="en-GB"/>
        </w:rPr>
        <w:t>Rates.xlsx</w:t>
      </w:r>
      <w:r>
        <w:rPr>
          <w:rFonts w:cs="Arial"/>
          <w:i/>
          <w:color w:val="auto"/>
          <w:lang w:eastAsia="en-GB"/>
        </w:rPr>
        <w:t xml:space="preserve">.  </w:t>
      </w:r>
      <w:r>
        <w:rPr>
          <w:rFonts w:cs="Arial"/>
          <w:color w:val="auto"/>
          <w:lang w:eastAsia="en-GB"/>
        </w:rPr>
        <w:t xml:space="preserve">It is also acceptable to use the standard STATA scripts to do these </w:t>
      </w:r>
      <w:r w:rsidR="007D343F">
        <w:rPr>
          <w:rFonts w:cs="Arial"/>
          <w:color w:val="auto"/>
          <w:lang w:eastAsia="en-GB"/>
        </w:rPr>
        <w:t xml:space="preserve">(the next draft of this SOP should include more details on </w:t>
      </w:r>
      <w:proofErr w:type="gramStart"/>
      <w:r w:rsidR="007D343F">
        <w:rPr>
          <w:rFonts w:cs="Arial"/>
          <w:color w:val="auto"/>
          <w:lang w:eastAsia="en-GB"/>
        </w:rPr>
        <w:t>these,</w:t>
      </w:r>
      <w:proofErr w:type="gramEnd"/>
      <w:r w:rsidR="007D343F">
        <w:rPr>
          <w:rFonts w:cs="Arial"/>
          <w:color w:val="auto"/>
          <w:lang w:eastAsia="en-GB"/>
        </w:rPr>
        <w:t xml:space="preserve"> John Broggio can be contacted for more details).</w:t>
      </w:r>
      <w:r>
        <w:br w:type="page"/>
      </w:r>
    </w:p>
    <w:p w:rsidR="00D05AE0" w:rsidRDefault="005A4513" w:rsidP="005A4513">
      <w:pPr>
        <w:pStyle w:val="PHEBodycopy"/>
        <w:rPr>
          <w:rFonts w:cs="Arial"/>
          <w:color w:val="98002E"/>
          <w:sz w:val="28"/>
          <w:lang w:eastAsia="en-US"/>
        </w:rPr>
      </w:pPr>
      <w:r>
        <w:rPr>
          <w:rFonts w:cs="Arial"/>
          <w:color w:val="98002E"/>
          <w:sz w:val="28"/>
          <w:lang w:eastAsia="en-US"/>
        </w:rPr>
        <w:lastRenderedPageBreak/>
        <w:t>Appendix A</w:t>
      </w:r>
    </w:p>
    <w:p w:rsidR="005A4513" w:rsidRPr="005A4513" w:rsidRDefault="005A4513" w:rsidP="005A4513">
      <w:pPr>
        <w:pStyle w:val="PHEBodycopy"/>
        <w:rPr>
          <w:rFonts w:cs="Arial"/>
          <w:color w:val="98002E"/>
          <w:sz w:val="28"/>
          <w:lang w:eastAsia="en-US"/>
        </w:rPr>
      </w:pPr>
    </w:p>
    <w:tbl>
      <w:tblPr>
        <w:tblW w:w="7695" w:type="dxa"/>
        <w:tblInd w:w="-27" w:type="dxa"/>
        <w:tblLook w:val="04A0" w:firstRow="1" w:lastRow="0" w:firstColumn="1" w:lastColumn="0" w:noHBand="0" w:noVBand="1"/>
      </w:tblPr>
      <w:tblGrid>
        <w:gridCol w:w="2263"/>
        <w:gridCol w:w="3507"/>
        <w:gridCol w:w="272"/>
        <w:gridCol w:w="1816"/>
      </w:tblGrid>
      <w:tr w:rsidR="005A4513" w:rsidRPr="005A4513" w:rsidTr="005A4513">
        <w:trPr>
          <w:trHeight w:val="255"/>
        </w:trPr>
        <w:tc>
          <w:tcPr>
            <w:tcW w:w="5879" w:type="dxa"/>
            <w:gridSpan w:val="3"/>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The 100(1–</w:t>
            </w:r>
            <w:r w:rsidRPr="005A4513">
              <w:rPr>
                <w:rFonts w:ascii="Symbol" w:hAnsi="Symbol"/>
                <w:i/>
                <w:iCs/>
                <w:color w:val="000000"/>
                <w:sz w:val="20"/>
                <w:lang w:eastAsia="en-GB"/>
              </w:rPr>
              <w:t></w:t>
            </w:r>
            <w:r w:rsidRPr="005A4513">
              <w:rPr>
                <w:color w:val="000000"/>
                <w:sz w:val="20"/>
                <w:lang w:eastAsia="en-GB"/>
              </w:rPr>
              <w:t xml:space="preserve">)% confidence limits for the rate </w:t>
            </w:r>
            <w:r w:rsidRPr="005A4513">
              <w:rPr>
                <w:i/>
                <w:iCs/>
                <w:color w:val="000000"/>
                <w:sz w:val="20"/>
                <w:lang w:eastAsia="en-GB"/>
              </w:rPr>
              <w:t>r</w:t>
            </w:r>
            <w:r w:rsidRPr="005A4513">
              <w:rPr>
                <w:color w:val="000000"/>
                <w:sz w:val="20"/>
                <w:lang w:eastAsia="en-GB"/>
              </w:rPr>
              <w:t xml:space="preserve"> are given by:</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360"/>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616" w:type="dxa"/>
            <w:gridSpan w:val="2"/>
            <w:vMerge w:val="restart"/>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Pr>
                <w:noProof/>
                <w:color w:val="000000"/>
                <w:sz w:val="20"/>
                <w:lang w:eastAsia="en-GB"/>
              </w:rPr>
              <w:drawing>
                <wp:anchor distT="0" distB="0" distL="114300" distR="114300" simplePos="0" relativeHeight="251655168" behindDoc="0" locked="0" layoutInCell="1" allowOverlap="1">
                  <wp:simplePos x="0" y="0"/>
                  <wp:positionH relativeFrom="column">
                    <wp:posOffset>714375</wp:posOffset>
                  </wp:positionH>
                  <wp:positionV relativeFrom="paragraph">
                    <wp:posOffset>152400</wp:posOffset>
                  </wp:positionV>
                  <wp:extent cx="714375" cy="33337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2" name="Object 13"/>
                          <pic:cNvPicPr>
                            <a:picLocks noChangeAspect="1"/>
                          </pic:cNvPicPr>
                        </pic:nvPicPr>
                        <pic:blipFill>
                          <a:blip r:embed="rId9"/>
                          <a:stretch>
                            <a:fillRect/>
                          </a:stretch>
                        </pic:blipFill>
                        <pic:spPr>
                          <a:xfrm>
                            <a:off x="0" y="0"/>
                            <a:ext cx="714375" cy="333375"/>
                          </a:xfrm>
                          <a:prstGeom prst="rect">
                            <a:avLst/>
                          </a:prstGeom>
                        </pic:spPr>
                      </pic:pic>
                    </a:graphicData>
                  </a:graphic>
                  <wp14:sizeRelH relativeFrom="page">
                    <wp14:pctWidth>0</wp14:pctWidth>
                  </wp14:sizeRelH>
                  <wp14:sizeRelV relativeFrom="page">
                    <wp14:pctHeight>0</wp14:pctHeight>
                  </wp14:sizeRelV>
                </wp:anchor>
              </w:drawing>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616" w:type="dxa"/>
            <w:gridSpan w:val="2"/>
            <w:vMerge/>
            <w:tcBorders>
              <w:top w:val="nil"/>
              <w:left w:val="nil"/>
              <w:bottom w:val="nil"/>
              <w:right w:val="nil"/>
            </w:tcBorders>
            <w:vAlign w:val="center"/>
            <w:hideMark/>
          </w:tcPr>
          <w:p w:rsidR="005A4513" w:rsidRPr="005A4513" w:rsidRDefault="005A4513" w:rsidP="005A4513">
            <w:pPr>
              <w:rPr>
                <w:color w:val="000000"/>
                <w:sz w:val="20"/>
                <w:lang w:eastAsia="en-GB"/>
              </w:rPr>
            </w:pP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55"/>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616" w:type="dxa"/>
            <w:gridSpan w:val="2"/>
            <w:vMerge/>
            <w:tcBorders>
              <w:top w:val="nil"/>
              <w:left w:val="nil"/>
              <w:bottom w:val="nil"/>
              <w:right w:val="nil"/>
            </w:tcBorders>
            <w:vAlign w:val="center"/>
            <w:hideMark/>
          </w:tcPr>
          <w:p w:rsidR="005A4513" w:rsidRPr="005A4513" w:rsidRDefault="005A4513" w:rsidP="005A4513">
            <w:pPr>
              <w:rPr>
                <w:color w:val="000000"/>
                <w:sz w:val="20"/>
                <w:lang w:eastAsia="en-GB"/>
              </w:rPr>
            </w:pP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616" w:type="dxa"/>
            <w:gridSpan w:val="2"/>
            <w:vMerge w:val="restart"/>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Pr>
                <w:noProof/>
                <w:color w:val="000000"/>
                <w:sz w:val="20"/>
                <w:lang w:eastAsia="en-GB"/>
              </w:rPr>
              <w:drawing>
                <wp:anchor distT="0" distB="0" distL="114300" distR="114300" simplePos="0" relativeHeight="251656192" behindDoc="0" locked="0" layoutInCell="1" allowOverlap="1">
                  <wp:simplePos x="0" y="0"/>
                  <wp:positionH relativeFrom="column">
                    <wp:posOffset>714375</wp:posOffset>
                  </wp:positionH>
                  <wp:positionV relativeFrom="paragraph">
                    <wp:posOffset>76200</wp:posOffset>
                  </wp:positionV>
                  <wp:extent cx="733425" cy="3429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2" name="Object 12"/>
                          <pic:cNvPicPr>
                            <a:picLocks noChangeAspect="1"/>
                          </pic:cNvPicPr>
                        </pic:nvPicPr>
                        <pic:blipFill>
                          <a:blip r:embed="rId10"/>
                          <a:stretch>
                            <a:fillRect/>
                          </a:stretch>
                        </pic:blipFill>
                        <pic:spPr>
                          <a:xfrm>
                            <a:off x="0" y="0"/>
                            <a:ext cx="733425" cy="342900"/>
                          </a:xfrm>
                          <a:prstGeom prst="rect">
                            <a:avLst/>
                          </a:prstGeom>
                        </pic:spPr>
                      </pic:pic>
                    </a:graphicData>
                  </a:graphic>
                  <wp14:sizeRelH relativeFrom="page">
                    <wp14:pctWidth>0</wp14:pctWidth>
                  </wp14:sizeRelH>
                  <wp14:sizeRelV relativeFrom="page">
                    <wp14:pctHeight>0</wp14:pctHeight>
                  </wp14:sizeRelV>
                </wp:anchor>
              </w:drawing>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616" w:type="dxa"/>
            <w:gridSpan w:val="2"/>
            <w:vMerge/>
            <w:tcBorders>
              <w:top w:val="nil"/>
              <w:left w:val="nil"/>
              <w:bottom w:val="nil"/>
              <w:right w:val="nil"/>
            </w:tcBorders>
            <w:vAlign w:val="center"/>
            <w:hideMark/>
          </w:tcPr>
          <w:p w:rsidR="005A4513" w:rsidRPr="005A4513" w:rsidRDefault="005A4513" w:rsidP="005A4513">
            <w:pPr>
              <w:rPr>
                <w:color w:val="000000"/>
                <w:sz w:val="20"/>
                <w:lang w:eastAsia="en-GB"/>
              </w:rPr>
            </w:pP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3616" w:type="dxa"/>
            <w:gridSpan w:val="2"/>
            <w:vMerge/>
            <w:tcBorders>
              <w:top w:val="nil"/>
              <w:left w:val="nil"/>
              <w:bottom w:val="nil"/>
              <w:right w:val="nil"/>
            </w:tcBorders>
            <w:vAlign w:val="center"/>
            <w:hideMark/>
          </w:tcPr>
          <w:p w:rsidR="005A4513" w:rsidRPr="005A4513" w:rsidRDefault="005A4513" w:rsidP="005A4513">
            <w:pPr>
              <w:rPr>
                <w:color w:val="000000"/>
                <w:sz w:val="20"/>
                <w:lang w:eastAsia="en-GB"/>
              </w:rPr>
            </w:pP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where:</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i/>
                <w:iCs/>
                <w:color w:val="000000"/>
                <w:sz w:val="20"/>
                <w:lang w:eastAsia="en-GB"/>
              </w:rPr>
            </w:pPr>
            <w:proofErr w:type="spellStart"/>
            <w:r w:rsidRPr="005A4513">
              <w:rPr>
                <w:i/>
                <w:iCs/>
                <w:color w:val="000000"/>
                <w:sz w:val="20"/>
                <w:lang w:eastAsia="en-GB"/>
              </w:rPr>
              <w:t>O</w:t>
            </w:r>
            <w:r w:rsidRPr="005A4513">
              <w:rPr>
                <w:i/>
                <w:iCs/>
                <w:color w:val="000000"/>
                <w:sz w:val="20"/>
                <w:vertAlign w:val="subscript"/>
                <w:lang w:eastAsia="en-GB"/>
              </w:rPr>
              <w:t>lower</w:t>
            </w:r>
            <w:proofErr w:type="spellEnd"/>
            <w:r w:rsidRPr="005A4513">
              <w:rPr>
                <w:i/>
                <w:iCs/>
                <w:color w:val="000000"/>
                <w:sz w:val="20"/>
                <w:lang w:eastAsia="en-GB"/>
              </w:rPr>
              <w:t xml:space="preserve"> and </w:t>
            </w:r>
            <w:proofErr w:type="spellStart"/>
            <w:r w:rsidRPr="005A4513">
              <w:rPr>
                <w:i/>
                <w:iCs/>
                <w:color w:val="000000"/>
                <w:sz w:val="20"/>
                <w:lang w:eastAsia="en-GB"/>
              </w:rPr>
              <w:t>O</w:t>
            </w:r>
            <w:r w:rsidRPr="005A4513">
              <w:rPr>
                <w:i/>
                <w:iCs/>
                <w:color w:val="000000"/>
                <w:sz w:val="20"/>
                <w:vertAlign w:val="subscript"/>
                <w:lang w:eastAsia="en-GB"/>
              </w:rPr>
              <w:t>upper</w:t>
            </w:r>
            <w:proofErr w:type="spellEnd"/>
            <w:r w:rsidRPr="005A4513">
              <w:rPr>
                <w:color w:val="000000"/>
                <w:sz w:val="20"/>
                <w:lang w:eastAsia="en-GB"/>
              </w:rPr>
              <w:t xml:space="preserve"> are the lower and upper confidence limits for the observed</w:t>
            </w:r>
          </w:p>
        </w:tc>
      </w:tr>
      <w:tr w:rsidR="005A4513" w:rsidRPr="005A4513" w:rsidTr="005A4513">
        <w:trPr>
          <w:trHeight w:val="263"/>
        </w:trPr>
        <w:tc>
          <w:tcPr>
            <w:tcW w:w="5770" w:type="dxa"/>
            <w:gridSpan w:val="2"/>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proofErr w:type="gramStart"/>
            <w:r w:rsidRPr="005A4513">
              <w:rPr>
                <w:color w:val="000000"/>
                <w:sz w:val="20"/>
                <w:lang w:eastAsia="en-GB"/>
              </w:rPr>
              <w:t>number</w:t>
            </w:r>
            <w:proofErr w:type="gramEnd"/>
            <w:r w:rsidRPr="005A4513">
              <w:rPr>
                <w:color w:val="000000"/>
                <w:sz w:val="20"/>
                <w:lang w:eastAsia="en-GB"/>
              </w:rPr>
              <w:t xml:space="preserve"> of events.</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85"/>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xml:space="preserve">Using </w:t>
            </w:r>
            <w:proofErr w:type="spellStart"/>
            <w:r w:rsidRPr="005A4513">
              <w:rPr>
                <w:color w:val="000000"/>
                <w:sz w:val="20"/>
                <w:lang w:eastAsia="en-GB"/>
              </w:rPr>
              <w:t>Byar's</w:t>
            </w:r>
            <w:proofErr w:type="spellEnd"/>
            <w:r w:rsidRPr="005A4513">
              <w:rPr>
                <w:color w:val="000000"/>
                <w:sz w:val="20"/>
                <w:lang w:eastAsia="en-GB"/>
              </w:rPr>
              <w:t xml:space="preserve"> method, the 100(1–</w:t>
            </w:r>
            <w:r w:rsidRPr="005A4513">
              <w:rPr>
                <w:rFonts w:ascii="Symbol" w:hAnsi="Symbol"/>
                <w:i/>
                <w:iCs/>
                <w:color w:val="000000"/>
                <w:sz w:val="20"/>
                <w:lang w:eastAsia="en-GB"/>
              </w:rPr>
              <w:t></w:t>
            </w:r>
            <w:r w:rsidRPr="005A4513">
              <w:rPr>
                <w:color w:val="000000"/>
                <w:sz w:val="20"/>
                <w:lang w:eastAsia="en-GB"/>
              </w:rPr>
              <w:t>)% confidence limits for the observed number</w:t>
            </w:r>
          </w:p>
        </w:tc>
      </w:tr>
      <w:tr w:rsidR="005A4513" w:rsidRPr="005A4513" w:rsidTr="005A4513">
        <w:trPr>
          <w:trHeight w:val="255"/>
        </w:trPr>
        <w:tc>
          <w:tcPr>
            <w:tcW w:w="5770" w:type="dxa"/>
            <w:gridSpan w:val="2"/>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of events are given by:</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55"/>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5432" w:type="dxa"/>
            <w:gridSpan w:val="3"/>
            <w:vMerge w:val="restart"/>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Pr>
                <w:noProof/>
                <w:color w:val="000000"/>
                <w:sz w:val="20"/>
                <w:lang w:eastAsia="en-GB"/>
              </w:rPr>
              <w:drawing>
                <wp:anchor distT="0" distB="0" distL="114300" distR="114300" simplePos="0" relativeHeight="251657216" behindDoc="0" locked="0" layoutInCell="1" allowOverlap="1">
                  <wp:simplePos x="0" y="0"/>
                  <wp:positionH relativeFrom="column">
                    <wp:posOffset>714375</wp:posOffset>
                  </wp:positionH>
                  <wp:positionV relativeFrom="paragraph">
                    <wp:posOffset>38100</wp:posOffset>
                  </wp:positionV>
                  <wp:extent cx="1695450" cy="4286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Object 45"/>
                          <pic:cNvPicPr>
                            <a:picLocks noChangeAspect="1"/>
                          </pic:cNvPicPr>
                        </pic:nvPicPr>
                        <pic:blipFill>
                          <a:blip r:embed="rId11"/>
                          <a:stretch>
                            <a:fillRect/>
                          </a:stretch>
                        </pic:blipFill>
                        <pic:spPr>
                          <a:xfrm>
                            <a:off x="0" y="0"/>
                            <a:ext cx="1695450" cy="428625"/>
                          </a:xfrm>
                          <a:prstGeom prst="rect">
                            <a:avLst/>
                          </a:prstGeom>
                        </pic:spPr>
                      </pic:pic>
                    </a:graphicData>
                  </a:graphic>
                  <wp14:sizeRelH relativeFrom="page">
                    <wp14:pctWidth>0</wp14:pctWidth>
                  </wp14:sizeRelH>
                  <wp14:sizeRelV relativeFrom="page">
                    <wp14:pctHeight>0</wp14:pctHeight>
                  </wp14:sizeRelV>
                </wp:anchor>
              </w:drawing>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5432" w:type="dxa"/>
            <w:gridSpan w:val="3"/>
            <w:vMerge/>
            <w:tcBorders>
              <w:top w:val="nil"/>
              <w:left w:val="nil"/>
              <w:bottom w:val="nil"/>
              <w:right w:val="nil"/>
            </w:tcBorders>
            <w:vAlign w:val="center"/>
            <w:hideMark/>
          </w:tcPr>
          <w:p w:rsidR="005A4513" w:rsidRPr="005A4513" w:rsidRDefault="005A4513" w:rsidP="005A4513">
            <w:pPr>
              <w:rPr>
                <w:color w:val="000000"/>
                <w:sz w:val="20"/>
                <w:lang w:eastAsia="en-GB"/>
              </w:rPr>
            </w:pPr>
          </w:p>
        </w:tc>
      </w:tr>
      <w:tr w:rsidR="005A4513" w:rsidRPr="005A4513" w:rsidTr="005A4513">
        <w:trPr>
          <w:trHeight w:val="255"/>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5432" w:type="dxa"/>
            <w:gridSpan w:val="3"/>
            <w:vMerge/>
            <w:tcBorders>
              <w:top w:val="nil"/>
              <w:left w:val="nil"/>
              <w:bottom w:val="nil"/>
              <w:right w:val="nil"/>
            </w:tcBorders>
            <w:vAlign w:val="center"/>
            <w:hideMark/>
          </w:tcPr>
          <w:p w:rsidR="005A4513" w:rsidRPr="005A4513" w:rsidRDefault="005A4513" w:rsidP="005A4513">
            <w:pPr>
              <w:rPr>
                <w:color w:val="000000"/>
                <w:sz w:val="20"/>
                <w:lang w:eastAsia="en-GB"/>
              </w:rPr>
            </w:pP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5432" w:type="dxa"/>
            <w:gridSpan w:val="3"/>
            <w:vMerge w:val="restart"/>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Pr>
                <w:noProof/>
                <w:color w:val="000000"/>
                <w:sz w:val="20"/>
                <w:lang w:eastAsia="en-GB"/>
              </w:rPr>
              <w:drawing>
                <wp:anchor distT="0" distB="0" distL="114300" distR="114300" simplePos="0" relativeHeight="251658240" behindDoc="0" locked="0" layoutInCell="1" allowOverlap="1">
                  <wp:simplePos x="0" y="0"/>
                  <wp:positionH relativeFrom="column">
                    <wp:posOffset>714375</wp:posOffset>
                  </wp:positionH>
                  <wp:positionV relativeFrom="paragraph">
                    <wp:posOffset>19050</wp:posOffset>
                  </wp:positionV>
                  <wp:extent cx="2390775" cy="476250"/>
                  <wp:effectExtent l="0" t="0" r="9525" b="0"/>
                  <wp:wrapNone/>
                  <wp:docPr id="38966" name="Picture 38966"/>
                  <wp:cNvGraphicFramePr/>
                  <a:graphic xmlns:a="http://schemas.openxmlformats.org/drawingml/2006/main">
                    <a:graphicData uri="http://schemas.openxmlformats.org/drawingml/2006/picture">
                      <pic:pic xmlns:pic="http://schemas.openxmlformats.org/drawingml/2006/picture">
                        <pic:nvPicPr>
                          <pic:cNvPr id="38966"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7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5432" w:type="dxa"/>
            <w:gridSpan w:val="3"/>
            <w:vMerge/>
            <w:tcBorders>
              <w:top w:val="nil"/>
              <w:left w:val="nil"/>
              <w:bottom w:val="nil"/>
              <w:right w:val="nil"/>
            </w:tcBorders>
            <w:vAlign w:val="center"/>
            <w:hideMark/>
          </w:tcPr>
          <w:p w:rsidR="005A4513" w:rsidRPr="005A4513" w:rsidRDefault="005A4513" w:rsidP="005A4513">
            <w:pPr>
              <w:rPr>
                <w:color w:val="000000"/>
                <w:sz w:val="20"/>
                <w:lang w:eastAsia="en-GB"/>
              </w:rPr>
            </w:pP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5432" w:type="dxa"/>
            <w:gridSpan w:val="3"/>
            <w:vMerge/>
            <w:tcBorders>
              <w:top w:val="nil"/>
              <w:left w:val="nil"/>
              <w:bottom w:val="nil"/>
              <w:right w:val="nil"/>
            </w:tcBorders>
            <w:vAlign w:val="center"/>
            <w:hideMark/>
          </w:tcPr>
          <w:p w:rsidR="005A4513" w:rsidRPr="005A4513" w:rsidRDefault="005A4513" w:rsidP="005A4513">
            <w:pPr>
              <w:rPr>
                <w:color w:val="000000"/>
                <w:sz w:val="20"/>
                <w:lang w:eastAsia="en-GB"/>
              </w:rPr>
            </w:pPr>
          </w:p>
        </w:tc>
      </w:tr>
      <w:tr w:rsidR="005A4513" w:rsidRPr="005A4513" w:rsidTr="005A4513">
        <w:trPr>
          <w:trHeight w:val="263"/>
        </w:trPr>
        <w:tc>
          <w:tcPr>
            <w:tcW w:w="2263" w:type="dxa"/>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where:</w:t>
            </w:r>
          </w:p>
        </w:tc>
        <w:tc>
          <w:tcPr>
            <w:tcW w:w="5432" w:type="dxa"/>
            <w:gridSpan w:val="3"/>
            <w:vMerge/>
            <w:tcBorders>
              <w:top w:val="nil"/>
              <w:left w:val="nil"/>
              <w:bottom w:val="nil"/>
              <w:right w:val="nil"/>
            </w:tcBorders>
            <w:vAlign w:val="center"/>
            <w:hideMark/>
          </w:tcPr>
          <w:p w:rsidR="005A4513" w:rsidRPr="005A4513" w:rsidRDefault="005A4513" w:rsidP="005A4513">
            <w:pPr>
              <w:rPr>
                <w:color w:val="000000"/>
                <w:sz w:val="20"/>
                <w:lang w:eastAsia="en-GB"/>
              </w:rPr>
            </w:pP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i/>
                <w:iCs/>
                <w:color w:val="000000"/>
                <w:sz w:val="20"/>
                <w:lang w:eastAsia="en-GB"/>
              </w:rPr>
            </w:pPr>
            <w:proofErr w:type="gramStart"/>
            <w:r w:rsidRPr="005A4513">
              <w:rPr>
                <w:i/>
                <w:iCs/>
                <w:color w:val="000000"/>
                <w:sz w:val="20"/>
                <w:lang w:eastAsia="en-GB"/>
              </w:rPr>
              <w:t>z</w:t>
            </w:r>
            <w:proofErr w:type="gramEnd"/>
            <w:r w:rsidRPr="005A4513">
              <w:rPr>
                <w:color w:val="000000"/>
                <w:sz w:val="20"/>
                <w:lang w:eastAsia="en-GB"/>
              </w:rPr>
              <w:t xml:space="preserve"> is the 100(1–</w:t>
            </w:r>
            <w:r w:rsidRPr="005A4513">
              <w:rPr>
                <w:rFonts w:ascii="Symbol" w:hAnsi="Symbol"/>
                <w:i/>
                <w:iCs/>
                <w:color w:val="000000"/>
                <w:sz w:val="20"/>
                <w:lang w:eastAsia="en-GB"/>
              </w:rPr>
              <w:t></w:t>
            </w:r>
            <w:r w:rsidRPr="005A4513">
              <w:rPr>
                <w:color w:val="000000"/>
                <w:sz w:val="20"/>
                <w:lang w:eastAsia="en-GB"/>
              </w:rPr>
              <w:t>/2)</w:t>
            </w:r>
            <w:proofErr w:type="spellStart"/>
            <w:r w:rsidRPr="005A4513">
              <w:rPr>
                <w:color w:val="000000"/>
                <w:sz w:val="20"/>
                <w:lang w:eastAsia="en-GB"/>
              </w:rPr>
              <w:t>th</w:t>
            </w:r>
            <w:proofErr w:type="spellEnd"/>
            <w:r w:rsidRPr="005A4513">
              <w:rPr>
                <w:color w:val="000000"/>
                <w:sz w:val="20"/>
                <w:lang w:eastAsia="en-GB"/>
              </w:rPr>
              <w:t xml:space="preserve"> percentile value from the Standard Normal distribution.</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 xml:space="preserve">For example, for a 95% confidence interval, </w:t>
            </w:r>
            <w:r w:rsidRPr="005A4513">
              <w:rPr>
                <w:rFonts w:ascii="Symbol" w:hAnsi="Symbol"/>
                <w:i/>
                <w:iCs/>
                <w:color w:val="000000"/>
                <w:sz w:val="20"/>
                <w:lang w:eastAsia="en-GB"/>
              </w:rPr>
              <w:t></w:t>
            </w:r>
            <w:r w:rsidRPr="005A4513">
              <w:rPr>
                <w:color w:val="000000"/>
                <w:sz w:val="20"/>
                <w:lang w:eastAsia="en-GB"/>
              </w:rPr>
              <w:t xml:space="preserve"> = 0.05 and </w:t>
            </w:r>
            <w:r w:rsidRPr="005A4513">
              <w:rPr>
                <w:i/>
                <w:iCs/>
                <w:color w:val="000000"/>
                <w:sz w:val="20"/>
                <w:lang w:eastAsia="en-GB"/>
              </w:rPr>
              <w:t>z</w:t>
            </w:r>
            <w:r w:rsidRPr="005A4513">
              <w:rPr>
                <w:color w:val="000000"/>
                <w:sz w:val="20"/>
                <w:lang w:eastAsia="en-GB"/>
              </w:rPr>
              <w:t xml:space="preserve"> = 1.96 (i.e. the</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97.5th percentile value from the Standard Normal distribution).</w:t>
            </w:r>
          </w:p>
        </w:tc>
      </w:tr>
      <w:tr w:rsidR="005A4513" w:rsidRPr="005A4513" w:rsidTr="005A4513">
        <w:trPr>
          <w:trHeight w:val="255"/>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55"/>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 xml:space="preserve">For small numerators, </w:t>
            </w:r>
            <w:proofErr w:type="spellStart"/>
            <w:r w:rsidRPr="005A4513">
              <w:rPr>
                <w:color w:val="000000"/>
                <w:sz w:val="20"/>
                <w:lang w:eastAsia="en-GB"/>
              </w:rPr>
              <w:t>Byar's</w:t>
            </w:r>
            <w:proofErr w:type="spellEnd"/>
            <w:r w:rsidRPr="005A4513">
              <w:rPr>
                <w:color w:val="000000"/>
                <w:sz w:val="20"/>
                <w:lang w:eastAsia="en-GB"/>
              </w:rPr>
              <w:t xml:space="preserve"> method can be less accurate and an exact method</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proofErr w:type="gramStart"/>
            <w:r w:rsidRPr="005A4513">
              <w:rPr>
                <w:color w:val="000000"/>
                <w:sz w:val="20"/>
                <w:lang w:eastAsia="en-GB"/>
              </w:rPr>
              <w:t>based</w:t>
            </w:r>
            <w:proofErr w:type="gramEnd"/>
            <w:r w:rsidRPr="005A4513">
              <w:rPr>
                <w:color w:val="000000"/>
                <w:sz w:val="20"/>
                <w:lang w:eastAsia="en-GB"/>
              </w:rPr>
              <w:t xml:space="preserve"> on the Poisson distribution can be used.  For 95% confidence intervals,</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proofErr w:type="spellStart"/>
            <w:r w:rsidRPr="005A4513">
              <w:rPr>
                <w:color w:val="000000"/>
                <w:sz w:val="20"/>
                <w:lang w:eastAsia="en-GB"/>
              </w:rPr>
              <w:t>Byar's</w:t>
            </w:r>
            <w:proofErr w:type="spellEnd"/>
            <w:r w:rsidRPr="005A4513">
              <w:rPr>
                <w:color w:val="000000"/>
                <w:sz w:val="20"/>
                <w:lang w:eastAsia="en-GB"/>
              </w:rPr>
              <w:t xml:space="preserve"> method is within 0.1% of the exact value for numerators of 13 or more, but</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for 99.8% confidence intervals it is within 0.1% of the exact value for numerators</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proofErr w:type="gramStart"/>
            <w:r w:rsidRPr="005A4513">
              <w:rPr>
                <w:color w:val="000000"/>
                <w:sz w:val="20"/>
                <w:lang w:eastAsia="en-GB"/>
              </w:rPr>
              <w:t>of</w:t>
            </w:r>
            <w:proofErr w:type="gramEnd"/>
            <w:r w:rsidRPr="005A4513">
              <w:rPr>
                <w:color w:val="000000"/>
                <w:sz w:val="20"/>
                <w:lang w:eastAsia="en-GB"/>
              </w:rPr>
              <w:t xml:space="preserve"> at least 44.</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315"/>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xml:space="preserve">Using the link between the Poisson and </w:t>
            </w:r>
            <w:r w:rsidRPr="005A4513">
              <w:rPr>
                <w:rFonts w:ascii="Symbol" w:hAnsi="Symbol"/>
                <w:i/>
                <w:iCs/>
                <w:color w:val="000000"/>
                <w:sz w:val="20"/>
                <w:lang w:eastAsia="en-GB"/>
              </w:rPr>
              <w:t></w:t>
            </w:r>
            <w:r w:rsidRPr="005A4513">
              <w:rPr>
                <w:color w:val="000000"/>
                <w:sz w:val="20"/>
                <w:vertAlign w:val="superscript"/>
                <w:lang w:eastAsia="en-GB"/>
              </w:rPr>
              <w:t>2</w:t>
            </w:r>
            <w:r w:rsidRPr="005A4513">
              <w:rPr>
                <w:color w:val="000000"/>
                <w:sz w:val="20"/>
                <w:lang w:eastAsia="en-GB"/>
              </w:rPr>
              <w:t xml:space="preserve"> distributions, the equations for </w:t>
            </w:r>
            <w:proofErr w:type="spellStart"/>
            <w:r w:rsidRPr="005A4513">
              <w:rPr>
                <w:i/>
                <w:iCs/>
                <w:color w:val="000000"/>
                <w:sz w:val="20"/>
                <w:lang w:eastAsia="en-GB"/>
              </w:rPr>
              <w:t>O</w:t>
            </w:r>
            <w:r w:rsidRPr="005A4513">
              <w:rPr>
                <w:i/>
                <w:iCs/>
                <w:color w:val="000000"/>
                <w:sz w:val="20"/>
                <w:vertAlign w:val="subscript"/>
                <w:lang w:eastAsia="en-GB"/>
              </w:rPr>
              <w:t>lower</w:t>
            </w:r>
            <w:proofErr w:type="spellEnd"/>
            <w:r w:rsidRPr="005A4513">
              <w:rPr>
                <w:color w:val="000000"/>
                <w:sz w:val="20"/>
                <w:lang w:eastAsia="en-GB"/>
              </w:rPr>
              <w:t xml:space="preserve"> and</w:t>
            </w:r>
          </w:p>
        </w:tc>
      </w:tr>
      <w:tr w:rsidR="005A4513" w:rsidRPr="005A4513" w:rsidTr="005A4513">
        <w:trPr>
          <w:trHeight w:val="263"/>
        </w:trPr>
        <w:tc>
          <w:tcPr>
            <w:tcW w:w="5770" w:type="dxa"/>
            <w:gridSpan w:val="2"/>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i/>
                <w:iCs/>
                <w:color w:val="000000"/>
                <w:sz w:val="20"/>
                <w:lang w:eastAsia="en-GB"/>
              </w:rPr>
            </w:pPr>
            <w:proofErr w:type="spellStart"/>
            <w:r w:rsidRPr="005A4513">
              <w:rPr>
                <w:i/>
                <w:iCs/>
                <w:color w:val="000000"/>
                <w:sz w:val="20"/>
                <w:lang w:eastAsia="en-GB"/>
              </w:rPr>
              <w:t>O</w:t>
            </w:r>
            <w:r w:rsidRPr="005A4513">
              <w:rPr>
                <w:i/>
                <w:iCs/>
                <w:color w:val="000000"/>
                <w:sz w:val="20"/>
                <w:vertAlign w:val="subscript"/>
                <w:lang w:eastAsia="en-GB"/>
              </w:rPr>
              <w:t>upper</w:t>
            </w:r>
            <w:proofErr w:type="spellEnd"/>
            <w:r w:rsidRPr="005A4513">
              <w:rPr>
                <w:color w:val="000000"/>
                <w:sz w:val="20"/>
                <w:lang w:eastAsia="en-GB"/>
              </w:rPr>
              <w:t xml:space="preserve"> above can be replaced by:</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auto" w:fill="auto"/>
            <w:noWrap/>
            <w:vAlign w:val="bottom"/>
            <w:hideMark/>
          </w:tcPr>
          <w:p w:rsidR="005A4513" w:rsidRPr="005A4513" w:rsidRDefault="005A4513" w:rsidP="005A4513">
            <w:pPr>
              <w:rPr>
                <w:rFonts w:ascii="Arial Narrow" w:hAnsi="Arial Narrow" w:cs="Times New Roman"/>
                <w:sz w:val="20"/>
                <w:lang w:eastAsia="en-GB"/>
              </w:rPr>
            </w:pPr>
            <w:r>
              <w:rPr>
                <w:rFonts w:ascii="Arial Narrow" w:hAnsi="Arial Narrow" w:cs="Times New Roman"/>
                <w:noProof/>
                <w:sz w:val="20"/>
                <w:lang w:eastAsia="en-GB"/>
              </w:rPr>
              <w:drawing>
                <wp:anchor distT="0" distB="0" distL="114300" distR="114300" simplePos="0" relativeHeight="251659264" behindDoc="0" locked="0" layoutInCell="1" allowOverlap="1">
                  <wp:simplePos x="0" y="0"/>
                  <wp:positionH relativeFrom="column">
                    <wp:posOffset>714375</wp:posOffset>
                  </wp:positionH>
                  <wp:positionV relativeFrom="paragraph">
                    <wp:posOffset>76200</wp:posOffset>
                  </wp:positionV>
                  <wp:extent cx="790575" cy="342900"/>
                  <wp:effectExtent l="0" t="0" r="0" b="0"/>
                  <wp:wrapNone/>
                  <wp:docPr id="38967" name="Picture 38967"/>
                  <wp:cNvGraphicFramePr/>
                  <a:graphic xmlns:a="http://schemas.openxmlformats.org/drawingml/2006/main">
                    <a:graphicData uri="http://schemas.openxmlformats.org/drawingml/2006/picture">
                      <pic:pic xmlns:pic="http://schemas.openxmlformats.org/drawingml/2006/picture">
                        <pic:nvPicPr>
                          <pic:cNvPr id="38967"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0"/>
            </w:tblGrid>
            <w:tr w:rsidR="005A4513" w:rsidRPr="005A4513">
              <w:trPr>
                <w:trHeight w:val="263"/>
                <w:tblCellSpacing w:w="0" w:type="dxa"/>
              </w:trPr>
              <w:tc>
                <w:tcPr>
                  <w:tcW w:w="1800"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bl>
          <w:p w:rsidR="005A4513" w:rsidRPr="005A4513" w:rsidRDefault="005A4513" w:rsidP="005A4513">
            <w:pPr>
              <w:rPr>
                <w:rFonts w:ascii="Arial Narrow" w:hAnsi="Arial Narrow" w:cs="Times New Roman"/>
                <w:sz w:val="20"/>
                <w:lang w:eastAsia="en-GB"/>
              </w:rPr>
            </w:pP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auto" w:fill="auto"/>
            <w:noWrap/>
            <w:vAlign w:val="bottom"/>
            <w:hideMark/>
          </w:tcPr>
          <w:p w:rsidR="005A4513" w:rsidRPr="005A4513" w:rsidRDefault="005A4513" w:rsidP="005A4513">
            <w:pPr>
              <w:rPr>
                <w:rFonts w:ascii="Arial Narrow" w:hAnsi="Arial Narrow" w:cs="Times New Roman"/>
                <w:sz w:val="20"/>
                <w:lang w:eastAsia="en-GB"/>
              </w:rPr>
            </w:pPr>
            <w:r>
              <w:rPr>
                <w:rFonts w:ascii="Arial Narrow" w:hAnsi="Arial Narrow" w:cs="Times New Roman"/>
                <w:noProof/>
                <w:sz w:val="20"/>
                <w:lang w:eastAsia="en-GB"/>
              </w:rPr>
              <w:drawing>
                <wp:anchor distT="0" distB="0" distL="114300" distR="114300" simplePos="0" relativeHeight="251660288" behindDoc="0" locked="0" layoutInCell="1" allowOverlap="1">
                  <wp:simplePos x="0" y="0"/>
                  <wp:positionH relativeFrom="column">
                    <wp:posOffset>714375</wp:posOffset>
                  </wp:positionH>
                  <wp:positionV relativeFrom="paragraph">
                    <wp:posOffset>66675</wp:posOffset>
                  </wp:positionV>
                  <wp:extent cx="809625" cy="352425"/>
                  <wp:effectExtent l="0" t="0" r="0" b="9525"/>
                  <wp:wrapNone/>
                  <wp:docPr id="38968" name="Picture 38968"/>
                  <wp:cNvGraphicFramePr/>
                  <a:graphic xmlns:a="http://schemas.openxmlformats.org/drawingml/2006/main">
                    <a:graphicData uri="http://schemas.openxmlformats.org/drawingml/2006/picture">
                      <pic:pic xmlns:pic="http://schemas.openxmlformats.org/drawingml/2006/picture">
                        <pic:nvPicPr>
                          <pic:cNvPr id="38968"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0"/>
            </w:tblGrid>
            <w:tr w:rsidR="005A4513" w:rsidRPr="005A4513">
              <w:trPr>
                <w:trHeight w:val="263"/>
                <w:tblCellSpacing w:w="0" w:type="dxa"/>
              </w:trPr>
              <w:tc>
                <w:tcPr>
                  <w:tcW w:w="1800"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bl>
          <w:p w:rsidR="005A4513" w:rsidRPr="005A4513" w:rsidRDefault="005A4513" w:rsidP="005A4513">
            <w:pPr>
              <w:rPr>
                <w:rFonts w:ascii="Arial Narrow" w:hAnsi="Arial Narrow" w:cs="Times New Roman"/>
                <w:sz w:val="20"/>
                <w:lang w:eastAsia="en-GB"/>
              </w:rPr>
            </w:pP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360"/>
        </w:trPr>
        <w:tc>
          <w:tcPr>
            <w:tcW w:w="2263" w:type="dxa"/>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where:</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315"/>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rFonts w:ascii="Symbol" w:hAnsi="Symbol" w:cs="Times New Roman"/>
                <w:i/>
                <w:iCs/>
                <w:color w:val="000000"/>
                <w:sz w:val="20"/>
                <w:lang w:eastAsia="en-GB"/>
              </w:rPr>
            </w:pPr>
            <w:r w:rsidRPr="005A4513">
              <w:rPr>
                <w:rFonts w:ascii="Symbol" w:hAnsi="Symbol" w:cs="Times New Roman"/>
                <w:i/>
                <w:iCs/>
                <w:color w:val="000000"/>
                <w:sz w:val="20"/>
                <w:lang w:eastAsia="en-GB"/>
              </w:rPr>
              <w:t></w:t>
            </w:r>
            <w:r w:rsidRPr="005A4513">
              <w:rPr>
                <w:color w:val="000000"/>
                <w:sz w:val="20"/>
                <w:vertAlign w:val="superscript"/>
                <w:lang w:eastAsia="en-GB"/>
              </w:rPr>
              <w:t>2</w:t>
            </w:r>
            <w:r w:rsidRPr="005A4513">
              <w:rPr>
                <w:i/>
                <w:iCs/>
                <w:color w:val="000000"/>
                <w:sz w:val="20"/>
                <w:vertAlign w:val="subscript"/>
                <w:lang w:eastAsia="en-GB"/>
              </w:rPr>
              <w:t>lower</w:t>
            </w:r>
            <w:r w:rsidRPr="005A4513">
              <w:rPr>
                <w:color w:val="000000"/>
                <w:sz w:val="20"/>
                <w:lang w:eastAsia="en-GB"/>
              </w:rPr>
              <w:t xml:space="preserve"> is the 100(1–</w:t>
            </w:r>
            <w:r w:rsidRPr="005A4513">
              <w:rPr>
                <w:rFonts w:ascii="Symbol" w:hAnsi="Symbol" w:cs="Times New Roman"/>
                <w:i/>
                <w:iCs/>
                <w:color w:val="000000"/>
                <w:sz w:val="20"/>
                <w:lang w:eastAsia="en-GB"/>
              </w:rPr>
              <w:t></w:t>
            </w:r>
            <w:r w:rsidRPr="005A4513">
              <w:rPr>
                <w:color w:val="000000"/>
                <w:sz w:val="20"/>
                <w:lang w:eastAsia="en-GB"/>
              </w:rPr>
              <w:t>/2)</w:t>
            </w:r>
            <w:proofErr w:type="spellStart"/>
            <w:r w:rsidRPr="005A4513">
              <w:rPr>
                <w:color w:val="000000"/>
                <w:sz w:val="20"/>
                <w:lang w:eastAsia="en-GB"/>
              </w:rPr>
              <w:t>th</w:t>
            </w:r>
            <w:proofErr w:type="spellEnd"/>
            <w:r w:rsidRPr="005A4513">
              <w:rPr>
                <w:color w:val="000000"/>
                <w:sz w:val="20"/>
                <w:lang w:eastAsia="en-GB"/>
              </w:rPr>
              <w:t xml:space="preserve"> percentile value from the </w:t>
            </w:r>
            <w:r w:rsidRPr="005A4513">
              <w:rPr>
                <w:rFonts w:ascii="Symbol" w:hAnsi="Symbol" w:cs="Times New Roman"/>
                <w:i/>
                <w:iCs/>
                <w:color w:val="000000"/>
                <w:sz w:val="20"/>
                <w:lang w:eastAsia="en-GB"/>
              </w:rPr>
              <w:t></w:t>
            </w:r>
            <w:r w:rsidRPr="005A4513">
              <w:rPr>
                <w:color w:val="000000"/>
                <w:sz w:val="20"/>
                <w:vertAlign w:val="superscript"/>
                <w:lang w:eastAsia="en-GB"/>
              </w:rPr>
              <w:t>2</w:t>
            </w:r>
            <w:r w:rsidRPr="005A4513">
              <w:rPr>
                <w:color w:val="000000"/>
                <w:sz w:val="20"/>
                <w:lang w:eastAsia="en-GB"/>
              </w:rPr>
              <w:t xml:space="preserve"> distribution with 2</w:t>
            </w:r>
            <w:r w:rsidRPr="005A4513">
              <w:rPr>
                <w:i/>
                <w:iCs/>
                <w:color w:val="000000"/>
                <w:sz w:val="20"/>
                <w:lang w:eastAsia="en-GB"/>
              </w:rPr>
              <w:t>O</w:t>
            </w:r>
          </w:p>
        </w:tc>
      </w:tr>
      <w:tr w:rsidR="005A4513" w:rsidRPr="005A4513" w:rsidTr="005A4513">
        <w:trPr>
          <w:trHeight w:val="255"/>
        </w:trPr>
        <w:tc>
          <w:tcPr>
            <w:tcW w:w="5770" w:type="dxa"/>
            <w:gridSpan w:val="2"/>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degrees of freedom;</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315"/>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rFonts w:ascii="Symbol" w:hAnsi="Symbol" w:cs="Times New Roman"/>
                <w:i/>
                <w:iCs/>
                <w:color w:val="000000"/>
                <w:sz w:val="20"/>
                <w:lang w:eastAsia="en-GB"/>
              </w:rPr>
            </w:pPr>
            <w:r w:rsidRPr="005A4513">
              <w:rPr>
                <w:rFonts w:ascii="Symbol" w:hAnsi="Symbol" w:cs="Times New Roman"/>
                <w:i/>
                <w:iCs/>
                <w:color w:val="000000"/>
                <w:sz w:val="20"/>
                <w:lang w:eastAsia="en-GB"/>
              </w:rPr>
              <w:t></w:t>
            </w:r>
            <w:r w:rsidRPr="005A4513">
              <w:rPr>
                <w:color w:val="000000"/>
                <w:sz w:val="20"/>
                <w:vertAlign w:val="superscript"/>
                <w:lang w:eastAsia="en-GB"/>
              </w:rPr>
              <w:t>2</w:t>
            </w:r>
            <w:r w:rsidRPr="005A4513">
              <w:rPr>
                <w:i/>
                <w:iCs/>
                <w:color w:val="000000"/>
                <w:sz w:val="20"/>
                <w:vertAlign w:val="subscript"/>
                <w:lang w:eastAsia="en-GB"/>
              </w:rPr>
              <w:t>upper</w:t>
            </w:r>
            <w:r w:rsidRPr="005A4513">
              <w:rPr>
                <w:color w:val="000000"/>
                <w:sz w:val="20"/>
                <w:lang w:eastAsia="en-GB"/>
              </w:rPr>
              <w:t xml:space="preserve"> is the 100(</w:t>
            </w:r>
            <w:r w:rsidRPr="005A4513">
              <w:rPr>
                <w:rFonts w:ascii="Symbol" w:hAnsi="Symbol" w:cs="Times New Roman"/>
                <w:i/>
                <w:iCs/>
                <w:color w:val="000000"/>
                <w:sz w:val="20"/>
                <w:lang w:eastAsia="en-GB"/>
              </w:rPr>
              <w:t></w:t>
            </w:r>
            <w:r w:rsidRPr="005A4513">
              <w:rPr>
                <w:color w:val="000000"/>
                <w:sz w:val="20"/>
                <w:lang w:eastAsia="en-GB"/>
              </w:rPr>
              <w:t>/2)</w:t>
            </w:r>
            <w:proofErr w:type="spellStart"/>
            <w:r w:rsidRPr="005A4513">
              <w:rPr>
                <w:color w:val="000000"/>
                <w:sz w:val="20"/>
                <w:lang w:eastAsia="en-GB"/>
              </w:rPr>
              <w:t>th</w:t>
            </w:r>
            <w:proofErr w:type="spellEnd"/>
            <w:r w:rsidRPr="005A4513">
              <w:rPr>
                <w:color w:val="000000"/>
                <w:sz w:val="20"/>
                <w:lang w:eastAsia="en-GB"/>
              </w:rPr>
              <w:t xml:space="preserve"> percentile value from the </w:t>
            </w:r>
            <w:r w:rsidRPr="005A4513">
              <w:rPr>
                <w:rFonts w:ascii="Symbol" w:hAnsi="Symbol" w:cs="Times New Roman"/>
                <w:i/>
                <w:iCs/>
                <w:color w:val="000000"/>
                <w:sz w:val="20"/>
                <w:lang w:eastAsia="en-GB"/>
              </w:rPr>
              <w:t></w:t>
            </w:r>
            <w:r w:rsidRPr="005A4513">
              <w:rPr>
                <w:color w:val="000000"/>
                <w:sz w:val="20"/>
                <w:vertAlign w:val="superscript"/>
                <w:lang w:eastAsia="en-GB"/>
              </w:rPr>
              <w:t>2</w:t>
            </w:r>
            <w:r w:rsidRPr="005A4513">
              <w:rPr>
                <w:color w:val="000000"/>
                <w:sz w:val="20"/>
                <w:lang w:eastAsia="en-GB"/>
              </w:rPr>
              <w:t xml:space="preserve"> distribution with 2</w:t>
            </w:r>
            <w:r w:rsidRPr="005A4513">
              <w:rPr>
                <w:i/>
                <w:iCs/>
                <w:color w:val="000000"/>
                <w:sz w:val="20"/>
                <w:lang w:eastAsia="en-GB"/>
              </w:rPr>
              <w:t>O</w:t>
            </w:r>
            <w:r w:rsidRPr="005A4513">
              <w:rPr>
                <w:color w:val="000000"/>
                <w:sz w:val="20"/>
                <w:lang w:eastAsia="en-GB"/>
              </w:rPr>
              <w:t>+2</w:t>
            </w:r>
          </w:p>
        </w:tc>
      </w:tr>
      <w:tr w:rsidR="005A4513" w:rsidRPr="005A4513" w:rsidTr="005A4513">
        <w:trPr>
          <w:trHeight w:val="255"/>
        </w:trPr>
        <w:tc>
          <w:tcPr>
            <w:tcW w:w="5770" w:type="dxa"/>
            <w:gridSpan w:val="2"/>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proofErr w:type="gramStart"/>
            <w:r w:rsidRPr="005A4513">
              <w:rPr>
                <w:color w:val="000000"/>
                <w:sz w:val="20"/>
                <w:lang w:eastAsia="en-GB"/>
              </w:rPr>
              <w:t>degrees</w:t>
            </w:r>
            <w:proofErr w:type="gramEnd"/>
            <w:r w:rsidRPr="005A4513">
              <w:rPr>
                <w:color w:val="000000"/>
                <w:sz w:val="20"/>
                <w:lang w:eastAsia="en-GB"/>
              </w:rPr>
              <w:t xml:space="preserve"> of freedom.</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85"/>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This spreadsheet uses Excel's built-in functions for exact probabilities for all cases</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proofErr w:type="gramStart"/>
            <w:r w:rsidRPr="005A4513">
              <w:rPr>
                <w:color w:val="000000"/>
                <w:sz w:val="20"/>
                <w:lang w:eastAsia="en-GB"/>
              </w:rPr>
              <w:t>based</w:t>
            </w:r>
            <w:proofErr w:type="gramEnd"/>
            <w:r w:rsidRPr="005A4513">
              <w:rPr>
                <w:color w:val="000000"/>
                <w:sz w:val="20"/>
                <w:lang w:eastAsia="en-GB"/>
              </w:rPr>
              <w:t xml:space="preserve"> on numerators under 389, in order to give the most accurate results.  For</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higher numerators, Excel's statistical functions fail (intermittently), and while macros</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 xml:space="preserve">are available to calculate exact Poisson probabilities, it is simpler to use </w:t>
            </w:r>
            <w:proofErr w:type="spellStart"/>
            <w:r w:rsidRPr="005A4513">
              <w:rPr>
                <w:color w:val="000000"/>
                <w:sz w:val="20"/>
                <w:lang w:eastAsia="en-GB"/>
              </w:rPr>
              <w:t>Byar's</w:t>
            </w:r>
            <w:proofErr w:type="spellEnd"/>
          </w:p>
        </w:tc>
      </w:tr>
      <w:tr w:rsidR="005A4513" w:rsidRPr="005A4513" w:rsidTr="005A4513">
        <w:trPr>
          <w:trHeight w:val="263"/>
        </w:trPr>
        <w:tc>
          <w:tcPr>
            <w:tcW w:w="5879" w:type="dxa"/>
            <w:gridSpan w:val="3"/>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proofErr w:type="gramStart"/>
            <w:r w:rsidRPr="005A4513">
              <w:rPr>
                <w:color w:val="000000"/>
                <w:sz w:val="20"/>
                <w:lang w:eastAsia="en-GB"/>
              </w:rPr>
              <w:t>method</w:t>
            </w:r>
            <w:proofErr w:type="gramEnd"/>
            <w:r w:rsidRPr="005A4513">
              <w:rPr>
                <w:color w:val="000000"/>
                <w:sz w:val="20"/>
                <w:lang w:eastAsia="en-GB"/>
              </w:rPr>
              <w:t>, and extremely accurate to do so.</w:t>
            </w:r>
          </w:p>
        </w:tc>
        <w:tc>
          <w:tcPr>
            <w:tcW w:w="1816" w:type="dxa"/>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r>
    </w:tbl>
    <w:p w:rsidR="002512E1" w:rsidRPr="00D05AE0" w:rsidRDefault="002512E1">
      <w:pPr>
        <w:rPr>
          <w:sz w:val="28"/>
          <w:lang w:eastAsia="en-GB"/>
        </w:rPr>
      </w:pPr>
      <w:r w:rsidRPr="00D05AE0">
        <w:rPr>
          <w:sz w:val="28"/>
          <w:lang w:eastAsia="en-GB"/>
        </w:rPr>
        <w:br w:type="page"/>
      </w:r>
    </w:p>
    <w:p w:rsidR="00883E70" w:rsidRDefault="00EB12E2" w:rsidP="00C32B17">
      <w:pPr>
        <w:pStyle w:val="PHEBodycopy"/>
        <w:rPr>
          <w:rFonts w:cs="Arial"/>
          <w:color w:val="98002E"/>
          <w:sz w:val="28"/>
          <w:lang w:eastAsia="en-US"/>
        </w:rPr>
      </w:pPr>
      <w:r>
        <w:rPr>
          <w:rFonts w:cs="Arial"/>
          <w:color w:val="98002E"/>
          <w:sz w:val="28"/>
          <w:lang w:eastAsia="en-US"/>
        </w:rPr>
        <w:lastRenderedPageBreak/>
        <w:t>Reference Code 1</w:t>
      </w:r>
    </w:p>
    <w:p w:rsidR="00EB12E2" w:rsidRDefault="00EB12E2" w:rsidP="00C32B17">
      <w:pPr>
        <w:pStyle w:val="PHEBodycopy"/>
        <w:rPr>
          <w:rFonts w:cs="Arial"/>
          <w:color w:val="98002E"/>
          <w:sz w:val="28"/>
          <w:lang w:eastAsia="en-US"/>
        </w:rPr>
      </w:pPr>
    </w:p>
    <w:p w:rsidR="00EB12E2" w:rsidRPr="00EB12E2" w:rsidRDefault="004042E1" w:rsidP="00C32B17">
      <w:pPr>
        <w:pStyle w:val="PHEBodycopy"/>
        <w:rPr>
          <w:rFonts w:cs="Arial"/>
        </w:rPr>
      </w:pPr>
      <w:r>
        <w:rPr>
          <w:rFonts w:cs="Arial"/>
        </w:rPr>
        <w:t xml:space="preserve">This code will give a count of the incidence of cancers for a specified cohort.  This is </w:t>
      </w:r>
      <w:r w:rsidRPr="004042E1">
        <w:rPr>
          <w:rFonts w:cs="Arial"/>
        </w:rPr>
        <w:t>example code for counting all liver cancers (C22) in 2013, for men aged 50 and over, for all England</w:t>
      </w:r>
    </w:p>
    <w:p w:rsidR="00B1575E" w:rsidRDefault="00B1575E" w:rsidP="00B1575E">
      <w:pPr>
        <w:pStyle w:val="PHEBodycopy"/>
        <w:rPr>
          <w:rFonts w:cs="Arial"/>
          <w:szCs w:val="24"/>
        </w:rPr>
      </w:pP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select  site</w:t>
      </w:r>
      <w:proofErr w:type="gramEnd"/>
      <w:r w:rsidRPr="00EB506B">
        <w:rPr>
          <w:rFonts w:ascii="Courier New" w:hAnsi="Courier New" w:cs="Courier New"/>
          <w:szCs w:val="24"/>
        </w:rPr>
        <w:t xml:space="preserve">_ICD10_O2_3char, </w:t>
      </w:r>
      <w:proofErr w:type="spellStart"/>
      <w:r w:rsidRPr="00EB506B">
        <w:rPr>
          <w:rFonts w:ascii="Courier New" w:hAnsi="Courier New" w:cs="Courier New"/>
          <w:szCs w:val="24"/>
        </w:rPr>
        <w:t>diagnosisyear</w:t>
      </w:r>
      <w:proofErr w:type="spellEnd"/>
      <w:r w:rsidRPr="00EB506B">
        <w:rPr>
          <w:rFonts w:ascii="Courier New" w:hAnsi="Courier New" w:cs="Courier New"/>
          <w:szCs w:val="24"/>
        </w:rPr>
        <w:t xml:space="preserve">, </w:t>
      </w:r>
      <w:proofErr w:type="spellStart"/>
      <w:r w:rsidRPr="00EB506B">
        <w:rPr>
          <w:rFonts w:ascii="Courier New" w:hAnsi="Courier New" w:cs="Courier New"/>
          <w:szCs w:val="24"/>
        </w:rPr>
        <w:t>ctry_code</w:t>
      </w:r>
      <w:proofErr w:type="spellEnd"/>
      <w:r w:rsidRPr="00EB506B">
        <w:rPr>
          <w:rFonts w:ascii="Courier New" w:hAnsi="Courier New" w:cs="Courier New"/>
          <w:szCs w:val="24"/>
        </w:rPr>
        <w:t xml:space="preserve"> as geography</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sex</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'50+' as age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xml:space="preserve">, </w:t>
      </w:r>
      <w:proofErr w:type="gramStart"/>
      <w:r w:rsidRPr="00EB506B">
        <w:rPr>
          <w:rFonts w:ascii="Courier New" w:hAnsi="Courier New" w:cs="Courier New"/>
          <w:szCs w:val="24"/>
        </w:rPr>
        <w:t>count(</w:t>
      </w:r>
      <w:proofErr w:type="spellStart"/>
      <w:proofErr w:type="gramEnd"/>
      <w:r w:rsidRPr="00EB506B">
        <w:rPr>
          <w:rFonts w:ascii="Courier New" w:hAnsi="Courier New" w:cs="Courier New"/>
          <w:szCs w:val="24"/>
        </w:rPr>
        <w:t>tumourid</w:t>
      </w:r>
      <w:proofErr w:type="spellEnd"/>
      <w:r w:rsidRPr="00EB506B">
        <w:rPr>
          <w:rFonts w:ascii="Courier New" w:hAnsi="Courier New" w:cs="Courier New"/>
          <w:szCs w:val="24"/>
        </w:rPr>
        <w:t>)</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from</w:t>
      </w:r>
      <w:proofErr w:type="gramEnd"/>
      <w:r w:rsidRPr="00EB506B">
        <w:rPr>
          <w:rFonts w:ascii="Courier New" w:hAnsi="Courier New" w:cs="Courier New"/>
          <w:szCs w:val="24"/>
        </w:rPr>
        <w:t xml:space="preserve"> av2015.av_tumour@CASREF01</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where</w:t>
      </w:r>
      <w:proofErr w:type="gramEnd"/>
      <w:r w:rsidRPr="00EB506B">
        <w:rPr>
          <w:rFonts w:ascii="Courier New" w:hAnsi="Courier New" w:cs="Courier New"/>
          <w:szCs w:val="24"/>
        </w:rPr>
        <w:t xml:space="preserve"> </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***CASSOP 01 RULES***</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English</w:t>
      </w:r>
    </w:p>
    <w:p w:rsidR="00EB506B" w:rsidRPr="00EB506B" w:rsidRDefault="00EB506B" w:rsidP="00EB506B">
      <w:pPr>
        <w:pStyle w:val="PHEBodycopy"/>
        <w:rPr>
          <w:rFonts w:ascii="Courier New" w:hAnsi="Courier New" w:cs="Courier New"/>
          <w:szCs w:val="24"/>
        </w:rPr>
      </w:pPr>
      <w:proofErr w:type="spellStart"/>
      <w:r w:rsidRPr="00EB506B">
        <w:rPr>
          <w:rFonts w:ascii="Courier New" w:hAnsi="Courier New" w:cs="Courier New"/>
          <w:szCs w:val="24"/>
        </w:rPr>
        <w:t>ctry_code</w:t>
      </w:r>
      <w:proofErr w:type="spellEnd"/>
      <w:r w:rsidRPr="00EB506B">
        <w:rPr>
          <w:rFonts w:ascii="Courier New" w:hAnsi="Courier New" w:cs="Courier New"/>
          <w:szCs w:val="24"/>
        </w:rPr>
        <w:t xml:space="preserve"> ='E'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Final</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and</w:t>
      </w:r>
      <w:proofErr w:type="gramEnd"/>
      <w:r w:rsidRPr="00EB506B">
        <w:rPr>
          <w:rFonts w:ascii="Courier New" w:hAnsi="Courier New" w:cs="Courier New"/>
          <w:szCs w:val="24"/>
        </w:rPr>
        <w:t xml:space="preserve"> STATUSOFREGISTRATION ='F'</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Not duplicates</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and</w:t>
      </w:r>
      <w:proofErr w:type="gramEnd"/>
      <w:r w:rsidRPr="00EB506B">
        <w:rPr>
          <w:rFonts w:ascii="Courier New" w:hAnsi="Courier New" w:cs="Courier New"/>
          <w:szCs w:val="24"/>
        </w:rPr>
        <w:t xml:space="preserve"> </w:t>
      </w:r>
      <w:proofErr w:type="spellStart"/>
      <w:r w:rsidRPr="00EB506B">
        <w:rPr>
          <w:rFonts w:ascii="Courier New" w:hAnsi="Courier New" w:cs="Courier New"/>
          <w:szCs w:val="24"/>
        </w:rPr>
        <w:t>dedup_flag</w:t>
      </w:r>
      <w:proofErr w:type="spellEnd"/>
      <w:r w:rsidRPr="00EB506B">
        <w:rPr>
          <w:rFonts w:ascii="Courier New" w:hAnsi="Courier New" w:cs="Courier New"/>
          <w:szCs w:val="24"/>
        </w:rPr>
        <w:t>=1</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xml:space="preserve">-- </w:t>
      </w:r>
      <w:r w:rsidR="008B489C">
        <w:rPr>
          <w:rFonts w:ascii="Courier New" w:hAnsi="Courier New" w:cs="Courier New"/>
          <w:szCs w:val="24"/>
        </w:rPr>
        <w:t>Exclude patients with age over 200</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and</w:t>
      </w:r>
      <w:proofErr w:type="gramEnd"/>
      <w:r w:rsidRPr="00EB506B">
        <w:rPr>
          <w:rFonts w:ascii="Courier New" w:hAnsi="Courier New" w:cs="Courier New"/>
          <w:szCs w:val="24"/>
        </w:rPr>
        <w:t xml:space="preserve"> age between 0 and 200</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Known sex</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and</w:t>
      </w:r>
      <w:proofErr w:type="gramEnd"/>
      <w:r w:rsidRPr="00EB506B">
        <w:rPr>
          <w:rFonts w:ascii="Courier New" w:hAnsi="Courier New" w:cs="Courier New"/>
          <w:szCs w:val="24"/>
        </w:rPr>
        <w:t xml:space="preserve"> sex in (1,2)</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Sex agrees with cancer type</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and</w:t>
      </w:r>
      <w:proofErr w:type="gramEnd"/>
      <w:r w:rsidRPr="00EB506B">
        <w:rPr>
          <w:rFonts w:ascii="Courier New" w:hAnsi="Courier New" w:cs="Courier New"/>
          <w:szCs w:val="24"/>
        </w:rPr>
        <w:t xml:space="preserve"> ((sex = '2' and site_ICD10_O2_3char not in ('C60','C61','C62','C63'))</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or (sex = '1' and  site_ICD10_O2_3char not in ('C51','C52','C53','C54','C55','C56','C57','C58')))</w:t>
      </w:r>
    </w:p>
    <w:p w:rsidR="00EB506B" w:rsidRPr="00EB506B" w:rsidRDefault="00EB506B" w:rsidP="00EB506B">
      <w:pPr>
        <w:pStyle w:val="PHEBodycopy"/>
        <w:rPr>
          <w:rFonts w:ascii="Courier New" w:hAnsi="Courier New" w:cs="Courier New"/>
          <w:szCs w:val="24"/>
        </w:rPr>
      </w:pP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***COHORT OF INTEREST***</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Cancer site of interest</w:t>
      </w:r>
      <w:r w:rsidR="002512E1">
        <w:rPr>
          <w:rFonts w:ascii="Courier New" w:hAnsi="Courier New" w:cs="Courier New"/>
          <w:szCs w:val="24"/>
        </w:rPr>
        <w:t xml:space="preserve"> (Liver in this example)</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and</w:t>
      </w:r>
      <w:proofErr w:type="gramEnd"/>
      <w:r w:rsidRPr="00EB506B">
        <w:rPr>
          <w:rFonts w:ascii="Courier New" w:hAnsi="Courier New" w:cs="Courier New"/>
          <w:szCs w:val="24"/>
        </w:rPr>
        <w:t xml:space="preserve"> site_ICD10_O2_3char = 'C22'</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Geography</w:t>
      </w:r>
      <w:r w:rsidR="002512E1">
        <w:rPr>
          <w:rFonts w:ascii="Courier New" w:hAnsi="Courier New" w:cs="Courier New"/>
          <w:szCs w:val="24"/>
        </w:rPr>
        <w:t xml:space="preserve"> (all England in this example)</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and</w:t>
      </w:r>
      <w:proofErr w:type="gramEnd"/>
      <w:r w:rsidRPr="00EB506B">
        <w:rPr>
          <w:rFonts w:ascii="Courier New" w:hAnsi="Courier New" w:cs="Courier New"/>
          <w:szCs w:val="24"/>
        </w:rPr>
        <w:t xml:space="preserve"> </w:t>
      </w:r>
      <w:proofErr w:type="spellStart"/>
      <w:r w:rsidRPr="00EB506B">
        <w:rPr>
          <w:rFonts w:ascii="Courier New" w:hAnsi="Courier New" w:cs="Courier New"/>
          <w:szCs w:val="24"/>
        </w:rPr>
        <w:t>ctry_code</w:t>
      </w:r>
      <w:proofErr w:type="spellEnd"/>
      <w:r w:rsidRPr="00EB506B">
        <w:rPr>
          <w:rFonts w:ascii="Courier New" w:hAnsi="Courier New" w:cs="Courier New"/>
          <w:szCs w:val="24"/>
        </w:rPr>
        <w:t xml:space="preserve"> ='E'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Sex</w:t>
      </w:r>
      <w:r w:rsidR="002512E1">
        <w:rPr>
          <w:rFonts w:ascii="Courier New" w:hAnsi="Courier New" w:cs="Courier New"/>
          <w:szCs w:val="24"/>
        </w:rPr>
        <w:t xml:space="preserve"> (male in this example)</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and</w:t>
      </w:r>
      <w:proofErr w:type="gramEnd"/>
      <w:r w:rsidRPr="00EB506B">
        <w:rPr>
          <w:rFonts w:ascii="Courier New" w:hAnsi="Courier New" w:cs="Courier New"/>
          <w:szCs w:val="24"/>
        </w:rPr>
        <w:t xml:space="preserve"> sex = 1</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Year of interest</w:t>
      </w:r>
      <w:r w:rsidR="002512E1">
        <w:rPr>
          <w:rFonts w:ascii="Courier New" w:hAnsi="Courier New" w:cs="Courier New"/>
          <w:szCs w:val="24"/>
        </w:rPr>
        <w:t xml:space="preserve"> (2013 in this example)</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and</w:t>
      </w:r>
      <w:proofErr w:type="gramEnd"/>
      <w:r w:rsidRPr="00EB506B">
        <w:rPr>
          <w:rFonts w:ascii="Courier New" w:hAnsi="Courier New" w:cs="Courier New"/>
          <w:szCs w:val="24"/>
        </w:rPr>
        <w:t xml:space="preserve"> </w:t>
      </w:r>
      <w:proofErr w:type="spellStart"/>
      <w:r w:rsidRPr="00EB506B">
        <w:rPr>
          <w:rFonts w:ascii="Courier New" w:hAnsi="Courier New" w:cs="Courier New"/>
          <w:szCs w:val="24"/>
        </w:rPr>
        <w:t>diagnosisyear</w:t>
      </w:r>
      <w:proofErr w:type="spellEnd"/>
      <w:r w:rsidRPr="00EB506B">
        <w:rPr>
          <w:rFonts w:ascii="Courier New" w:hAnsi="Courier New" w:cs="Courier New"/>
          <w:szCs w:val="24"/>
        </w:rPr>
        <w:t>= 2013</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Age</w:t>
      </w:r>
      <w:r w:rsidR="002512E1">
        <w:rPr>
          <w:rFonts w:ascii="Courier New" w:hAnsi="Courier New" w:cs="Courier New"/>
          <w:szCs w:val="24"/>
        </w:rPr>
        <w:t xml:space="preserve"> (50+ in this example)</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and</w:t>
      </w:r>
      <w:proofErr w:type="gramEnd"/>
      <w:r w:rsidRPr="00EB506B">
        <w:rPr>
          <w:rFonts w:ascii="Courier New" w:hAnsi="Courier New" w:cs="Courier New"/>
          <w:szCs w:val="24"/>
        </w:rPr>
        <w:t xml:space="preserve"> age &gt; = 50</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group</w:t>
      </w:r>
      <w:proofErr w:type="gramEnd"/>
      <w:r w:rsidRPr="00EB506B">
        <w:rPr>
          <w:rFonts w:ascii="Courier New" w:hAnsi="Courier New" w:cs="Courier New"/>
          <w:szCs w:val="24"/>
        </w:rPr>
        <w:t xml:space="preserve"> by site_ICD10_O2_3char, </w:t>
      </w:r>
      <w:proofErr w:type="spellStart"/>
      <w:r w:rsidRPr="00EB506B">
        <w:rPr>
          <w:rFonts w:ascii="Courier New" w:hAnsi="Courier New" w:cs="Courier New"/>
          <w:szCs w:val="24"/>
        </w:rPr>
        <w:t>diagnosisyear</w:t>
      </w:r>
      <w:proofErr w:type="spellEnd"/>
      <w:r w:rsidRPr="00EB506B">
        <w:rPr>
          <w:rFonts w:ascii="Courier New" w:hAnsi="Courier New" w:cs="Courier New"/>
          <w:szCs w:val="24"/>
        </w:rPr>
        <w:t xml:space="preserve">, </w:t>
      </w:r>
      <w:proofErr w:type="spellStart"/>
      <w:r w:rsidRPr="00EB506B">
        <w:rPr>
          <w:rFonts w:ascii="Courier New" w:hAnsi="Courier New" w:cs="Courier New"/>
          <w:szCs w:val="24"/>
        </w:rPr>
        <w:t>ctry_code</w:t>
      </w:r>
      <w:proofErr w:type="spellEnd"/>
      <w:r w:rsidRPr="00EB506B">
        <w:rPr>
          <w:rFonts w:ascii="Courier New" w:hAnsi="Courier New" w:cs="Courier New"/>
          <w:szCs w:val="24"/>
        </w:rPr>
        <w:t>, sex</w:t>
      </w:r>
    </w:p>
    <w:p w:rsidR="00EB506B" w:rsidRPr="00EB506B" w:rsidRDefault="00EB506B" w:rsidP="00EB506B">
      <w:pPr>
        <w:pStyle w:val="PHEBodycopy"/>
        <w:rPr>
          <w:rFonts w:ascii="Courier New" w:hAnsi="Courier New" w:cs="Courier New"/>
          <w:szCs w:val="24"/>
        </w:rPr>
      </w:pPr>
      <w:proofErr w:type="gramStart"/>
      <w:r w:rsidRPr="00EB506B">
        <w:rPr>
          <w:rFonts w:ascii="Courier New" w:hAnsi="Courier New" w:cs="Courier New"/>
          <w:szCs w:val="24"/>
        </w:rPr>
        <w:t>order</w:t>
      </w:r>
      <w:proofErr w:type="gramEnd"/>
      <w:r w:rsidRPr="00EB506B">
        <w:rPr>
          <w:rFonts w:ascii="Courier New" w:hAnsi="Courier New" w:cs="Courier New"/>
          <w:szCs w:val="24"/>
        </w:rPr>
        <w:t xml:space="preserve"> by site_ICD10_O2_3char, </w:t>
      </w:r>
      <w:proofErr w:type="spellStart"/>
      <w:r w:rsidRPr="00EB506B">
        <w:rPr>
          <w:rFonts w:ascii="Courier New" w:hAnsi="Courier New" w:cs="Courier New"/>
          <w:szCs w:val="24"/>
        </w:rPr>
        <w:t>diagnosisyear</w:t>
      </w:r>
      <w:proofErr w:type="spellEnd"/>
      <w:r w:rsidRPr="00EB506B">
        <w:rPr>
          <w:rFonts w:ascii="Courier New" w:hAnsi="Courier New" w:cs="Courier New"/>
          <w:szCs w:val="24"/>
        </w:rPr>
        <w:t xml:space="preserve">, </w:t>
      </w:r>
      <w:proofErr w:type="spellStart"/>
      <w:r w:rsidRPr="00EB506B">
        <w:rPr>
          <w:rFonts w:ascii="Courier New" w:hAnsi="Courier New" w:cs="Courier New"/>
          <w:szCs w:val="24"/>
        </w:rPr>
        <w:t>ctry_code</w:t>
      </w:r>
      <w:proofErr w:type="spellEnd"/>
      <w:r w:rsidRPr="00EB506B">
        <w:rPr>
          <w:rFonts w:ascii="Courier New" w:hAnsi="Courier New" w:cs="Courier New"/>
          <w:szCs w:val="24"/>
        </w:rPr>
        <w:t>, sex;</w:t>
      </w:r>
    </w:p>
    <w:p w:rsidR="00EB506B" w:rsidRPr="00EB506B" w:rsidRDefault="00EB506B" w:rsidP="00EB506B">
      <w:pPr>
        <w:pStyle w:val="PHEBodycopy"/>
        <w:rPr>
          <w:rFonts w:ascii="Courier New" w:hAnsi="Courier New" w:cs="Courier New"/>
          <w:szCs w:val="24"/>
        </w:rPr>
      </w:pPr>
    </w:p>
    <w:p w:rsidR="00EB12E2" w:rsidRDefault="00BF627F" w:rsidP="00C32B17">
      <w:pPr>
        <w:pStyle w:val="PHEBodycopy"/>
        <w:rPr>
          <w:rFonts w:cs="Arial"/>
          <w:color w:val="98002E"/>
          <w:sz w:val="28"/>
          <w:lang w:eastAsia="en-US"/>
        </w:rPr>
      </w:pPr>
      <w:r>
        <w:rPr>
          <w:rFonts w:cs="Arial"/>
          <w:color w:val="98002E"/>
          <w:sz w:val="28"/>
          <w:lang w:eastAsia="en-US"/>
        </w:rPr>
        <w:br w:type="page"/>
      </w:r>
      <w:r w:rsidR="00EB12E2">
        <w:rPr>
          <w:rFonts w:cs="Arial"/>
          <w:color w:val="98002E"/>
          <w:sz w:val="28"/>
          <w:lang w:eastAsia="en-US"/>
        </w:rPr>
        <w:lastRenderedPageBreak/>
        <w:t>Reference Code 2</w:t>
      </w:r>
    </w:p>
    <w:p w:rsidR="00EB12E2" w:rsidRDefault="00EB12E2" w:rsidP="00C32B17">
      <w:pPr>
        <w:pStyle w:val="PHEBodycopy"/>
        <w:rPr>
          <w:rFonts w:cs="Arial"/>
        </w:rPr>
      </w:pPr>
    </w:p>
    <w:p w:rsidR="002512E1" w:rsidRDefault="002512E1" w:rsidP="002512E1">
      <w:pPr>
        <w:pStyle w:val="PHEBodycopy"/>
        <w:rPr>
          <w:rFonts w:cs="Arial"/>
        </w:rPr>
      </w:pPr>
      <w:r>
        <w:rPr>
          <w:rFonts w:cs="Arial"/>
        </w:rPr>
        <w:t xml:space="preserve">This code will give a count of at risk population for a specified cohort.  This is </w:t>
      </w:r>
      <w:r w:rsidRPr="004042E1">
        <w:rPr>
          <w:rFonts w:cs="Arial"/>
        </w:rPr>
        <w:t>example code for counting all men aged 50 and over, for all England</w:t>
      </w:r>
      <w:r>
        <w:rPr>
          <w:rFonts w:cs="Arial"/>
        </w:rPr>
        <w:t>.</w:t>
      </w:r>
    </w:p>
    <w:p w:rsidR="002512E1" w:rsidRDefault="002512E1" w:rsidP="002512E1">
      <w:pPr>
        <w:pStyle w:val="PHEBodycopy"/>
        <w:rPr>
          <w:rFonts w:cs="Arial"/>
        </w:rPr>
      </w:pPr>
    </w:p>
    <w:p w:rsidR="00A4419D" w:rsidRPr="00A4419D" w:rsidRDefault="00A4419D" w:rsidP="00A4419D">
      <w:pPr>
        <w:pStyle w:val="PHESecondaryHeadingOne"/>
        <w:spacing w:after="0"/>
        <w:rPr>
          <w:rFonts w:ascii="Courier New" w:hAnsi="Courier New" w:cs="Courier New"/>
          <w:color w:val="auto"/>
          <w:sz w:val="24"/>
          <w:szCs w:val="24"/>
          <w:lang w:eastAsia="en-GB"/>
        </w:rPr>
      </w:pPr>
      <w:proofErr w:type="gramStart"/>
      <w:r w:rsidRPr="00A4419D">
        <w:rPr>
          <w:rFonts w:ascii="Courier New" w:hAnsi="Courier New" w:cs="Courier New"/>
          <w:color w:val="auto"/>
          <w:sz w:val="24"/>
          <w:szCs w:val="24"/>
          <w:lang w:eastAsia="en-GB"/>
        </w:rPr>
        <w:t>select</w:t>
      </w:r>
      <w:proofErr w:type="gramEnd"/>
      <w:r w:rsidRPr="00A4419D">
        <w:rPr>
          <w:rFonts w:ascii="Courier New" w:hAnsi="Courier New" w:cs="Courier New"/>
          <w:color w:val="auto"/>
          <w:sz w:val="24"/>
          <w:szCs w:val="24"/>
          <w:lang w:eastAsia="en-GB"/>
        </w:rPr>
        <w:t xml:space="preserve"> sum (</w:t>
      </w:r>
      <w:proofErr w:type="spellStart"/>
      <w:r w:rsidRPr="00A4419D">
        <w:rPr>
          <w:rFonts w:ascii="Courier New" w:hAnsi="Courier New" w:cs="Courier New"/>
          <w:color w:val="auto"/>
          <w:sz w:val="24"/>
          <w:szCs w:val="24"/>
          <w:lang w:eastAsia="en-GB"/>
        </w:rPr>
        <w:t>popcount</w:t>
      </w:r>
      <w:proofErr w:type="spellEnd"/>
      <w:r w:rsidRPr="00A4419D">
        <w:rPr>
          <w:rFonts w:ascii="Courier New" w:hAnsi="Courier New" w:cs="Courier New"/>
          <w:color w:val="auto"/>
          <w:sz w:val="24"/>
          <w:szCs w:val="24"/>
          <w:lang w:eastAsia="en-GB"/>
        </w:rPr>
        <w:t>) from  ons2015.populations_normalised</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Geography</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xml:space="preserve">-- All England in this example </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(can join on LSOA look ups for other geographies)</w:t>
      </w:r>
    </w:p>
    <w:p w:rsidR="00A4419D" w:rsidRPr="00A4419D" w:rsidRDefault="00A4419D" w:rsidP="00A4419D">
      <w:pPr>
        <w:pStyle w:val="PHESecondaryHeadingOne"/>
        <w:spacing w:after="0"/>
        <w:rPr>
          <w:rFonts w:ascii="Courier New" w:hAnsi="Courier New" w:cs="Courier New"/>
          <w:color w:val="auto"/>
          <w:sz w:val="24"/>
          <w:szCs w:val="24"/>
          <w:lang w:eastAsia="en-GB"/>
        </w:rPr>
      </w:pPr>
      <w:proofErr w:type="gramStart"/>
      <w:r w:rsidRPr="00A4419D">
        <w:rPr>
          <w:rFonts w:ascii="Courier New" w:hAnsi="Courier New" w:cs="Courier New"/>
          <w:color w:val="auto"/>
          <w:sz w:val="24"/>
          <w:szCs w:val="24"/>
          <w:lang w:eastAsia="en-GB"/>
        </w:rPr>
        <w:t>where</w:t>
      </w:r>
      <w:proofErr w:type="gramEnd"/>
      <w:r w:rsidRPr="00A4419D">
        <w:rPr>
          <w:rFonts w:ascii="Courier New" w:hAnsi="Courier New" w:cs="Courier New"/>
          <w:color w:val="auto"/>
          <w:sz w:val="24"/>
          <w:szCs w:val="24"/>
          <w:lang w:eastAsia="en-GB"/>
        </w:rPr>
        <w:t xml:space="preserve"> </w:t>
      </w:r>
      <w:proofErr w:type="spellStart"/>
      <w:r w:rsidRPr="00A4419D">
        <w:rPr>
          <w:rFonts w:ascii="Courier New" w:hAnsi="Courier New" w:cs="Courier New"/>
          <w:color w:val="auto"/>
          <w:sz w:val="24"/>
          <w:szCs w:val="24"/>
          <w:lang w:eastAsia="en-GB"/>
        </w:rPr>
        <w:t>substr</w:t>
      </w:r>
      <w:proofErr w:type="spellEnd"/>
      <w:r w:rsidRPr="00A4419D">
        <w:rPr>
          <w:rFonts w:ascii="Courier New" w:hAnsi="Courier New" w:cs="Courier New"/>
          <w:color w:val="auto"/>
          <w:sz w:val="24"/>
          <w:szCs w:val="24"/>
          <w:lang w:eastAsia="en-GB"/>
        </w:rPr>
        <w:t>(lsoa11,1,1) = 'E'</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xml:space="preserve">-- Time period of </w:t>
      </w:r>
      <w:proofErr w:type="gramStart"/>
      <w:r w:rsidRPr="00A4419D">
        <w:rPr>
          <w:rFonts w:ascii="Courier New" w:hAnsi="Courier New" w:cs="Courier New"/>
          <w:color w:val="auto"/>
          <w:sz w:val="24"/>
          <w:szCs w:val="24"/>
          <w:lang w:eastAsia="en-GB"/>
        </w:rPr>
        <w:t>interest  (</w:t>
      </w:r>
      <w:proofErr w:type="gramEnd"/>
      <w:r w:rsidRPr="00A4419D">
        <w:rPr>
          <w:rFonts w:ascii="Courier New" w:hAnsi="Courier New" w:cs="Courier New"/>
          <w:color w:val="auto"/>
          <w:sz w:val="24"/>
          <w:szCs w:val="24"/>
          <w:lang w:eastAsia="en-GB"/>
        </w:rPr>
        <w:t>2013 in this example)</w:t>
      </w:r>
    </w:p>
    <w:p w:rsidR="00A4419D" w:rsidRPr="00A4419D" w:rsidRDefault="00A4419D" w:rsidP="00A4419D">
      <w:pPr>
        <w:pStyle w:val="PHESecondaryHeadingOne"/>
        <w:spacing w:after="0"/>
        <w:rPr>
          <w:rFonts w:ascii="Courier New" w:hAnsi="Courier New" w:cs="Courier New"/>
          <w:color w:val="auto"/>
          <w:sz w:val="24"/>
          <w:szCs w:val="24"/>
          <w:lang w:eastAsia="en-GB"/>
        </w:rPr>
      </w:pPr>
      <w:proofErr w:type="gramStart"/>
      <w:r w:rsidRPr="00A4419D">
        <w:rPr>
          <w:rFonts w:ascii="Courier New" w:hAnsi="Courier New" w:cs="Courier New"/>
          <w:color w:val="auto"/>
          <w:sz w:val="24"/>
          <w:szCs w:val="24"/>
          <w:lang w:eastAsia="en-GB"/>
        </w:rPr>
        <w:t>and</w:t>
      </w:r>
      <w:proofErr w:type="gramEnd"/>
      <w:r w:rsidRPr="00A4419D">
        <w:rPr>
          <w:rFonts w:ascii="Courier New" w:hAnsi="Courier New" w:cs="Courier New"/>
          <w:color w:val="auto"/>
          <w:sz w:val="24"/>
          <w:szCs w:val="24"/>
          <w:lang w:eastAsia="en-GB"/>
        </w:rPr>
        <w:t xml:space="preserve"> year = '2013'</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Sex (male in this example)</w:t>
      </w:r>
    </w:p>
    <w:p w:rsidR="00A4419D" w:rsidRPr="00A4419D" w:rsidRDefault="00A4419D" w:rsidP="00A4419D">
      <w:pPr>
        <w:pStyle w:val="PHESecondaryHeadingOne"/>
        <w:spacing w:after="0"/>
        <w:rPr>
          <w:rFonts w:ascii="Courier New" w:hAnsi="Courier New" w:cs="Courier New"/>
          <w:color w:val="auto"/>
          <w:sz w:val="24"/>
          <w:szCs w:val="24"/>
          <w:lang w:eastAsia="en-GB"/>
        </w:rPr>
      </w:pPr>
      <w:proofErr w:type="gramStart"/>
      <w:r w:rsidRPr="00A4419D">
        <w:rPr>
          <w:rFonts w:ascii="Courier New" w:hAnsi="Courier New" w:cs="Courier New"/>
          <w:color w:val="auto"/>
          <w:sz w:val="24"/>
          <w:szCs w:val="24"/>
          <w:lang w:eastAsia="en-GB"/>
        </w:rPr>
        <w:t>and</w:t>
      </w:r>
      <w:proofErr w:type="gramEnd"/>
      <w:r w:rsidRPr="00A4419D">
        <w:rPr>
          <w:rFonts w:ascii="Courier New" w:hAnsi="Courier New" w:cs="Courier New"/>
          <w:color w:val="auto"/>
          <w:sz w:val="24"/>
          <w:szCs w:val="24"/>
          <w:lang w:eastAsia="en-GB"/>
        </w:rPr>
        <w:t xml:space="preserve"> sex = '1'</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Age (50+ in this example)</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xml:space="preserve">-- Note that these are coded, '1' is 0-4s, '2' is 5-9s </w:t>
      </w:r>
      <w:proofErr w:type="spellStart"/>
      <w:r w:rsidRPr="00A4419D">
        <w:rPr>
          <w:rFonts w:ascii="Courier New" w:hAnsi="Courier New" w:cs="Courier New"/>
          <w:color w:val="auto"/>
          <w:sz w:val="24"/>
          <w:szCs w:val="24"/>
          <w:lang w:eastAsia="en-GB"/>
        </w:rPr>
        <w:t>etc</w:t>
      </w:r>
      <w:proofErr w:type="spellEnd"/>
    </w:p>
    <w:p w:rsidR="00A4419D" w:rsidRPr="00A4419D" w:rsidRDefault="00A4419D" w:rsidP="00A4419D">
      <w:pPr>
        <w:pStyle w:val="PHESecondaryHeadingOne"/>
        <w:spacing w:after="0"/>
        <w:rPr>
          <w:rFonts w:ascii="Courier New" w:hAnsi="Courier New" w:cs="Courier New"/>
          <w:color w:val="auto"/>
          <w:sz w:val="24"/>
          <w:szCs w:val="24"/>
          <w:lang w:eastAsia="en-GB"/>
        </w:rPr>
      </w:pPr>
      <w:proofErr w:type="gramStart"/>
      <w:r w:rsidRPr="00A4419D">
        <w:rPr>
          <w:rFonts w:ascii="Courier New" w:hAnsi="Courier New" w:cs="Courier New"/>
          <w:color w:val="auto"/>
          <w:sz w:val="24"/>
          <w:szCs w:val="24"/>
          <w:lang w:eastAsia="en-GB"/>
        </w:rPr>
        <w:t>and</w:t>
      </w:r>
      <w:proofErr w:type="gramEnd"/>
      <w:r w:rsidRPr="00A4419D">
        <w:rPr>
          <w:rFonts w:ascii="Courier New" w:hAnsi="Courier New" w:cs="Courier New"/>
          <w:color w:val="auto"/>
          <w:sz w:val="24"/>
          <w:szCs w:val="24"/>
          <w:lang w:eastAsia="en-GB"/>
        </w:rPr>
        <w:t xml:space="preserve"> </w:t>
      </w:r>
      <w:proofErr w:type="spellStart"/>
      <w:r w:rsidRPr="00A4419D">
        <w:rPr>
          <w:rFonts w:ascii="Courier New" w:hAnsi="Courier New" w:cs="Courier New"/>
          <w:color w:val="auto"/>
          <w:sz w:val="24"/>
          <w:szCs w:val="24"/>
          <w:lang w:eastAsia="en-GB"/>
        </w:rPr>
        <w:t>quinaryagegroupint</w:t>
      </w:r>
      <w:proofErr w:type="spellEnd"/>
      <w:r w:rsidRPr="00A4419D">
        <w:rPr>
          <w:rFonts w:ascii="Courier New" w:hAnsi="Courier New" w:cs="Courier New"/>
          <w:color w:val="auto"/>
          <w:sz w:val="24"/>
          <w:szCs w:val="24"/>
          <w:lang w:eastAsia="en-GB"/>
        </w:rPr>
        <w:t xml:space="preserve"> &gt;= 11</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w:t>
      </w:r>
    </w:p>
    <w:p w:rsidR="00B17474" w:rsidRPr="001D1B21" w:rsidRDefault="00B17474" w:rsidP="00272A49">
      <w:pPr>
        <w:pStyle w:val="PHESecondaryHeadingOne"/>
        <w:spacing w:after="0"/>
        <w:rPr>
          <w:rFonts w:cs="Arial"/>
        </w:rPr>
      </w:pPr>
    </w:p>
    <w:sectPr w:rsidR="00B17474" w:rsidRPr="001D1B21" w:rsidSect="00BF627F">
      <w:footerReference w:type="default" r:id="rId15"/>
      <w:footerReference w:type="first" r:id="rId16"/>
      <w:pgSz w:w="11906" w:h="16838" w:code="9"/>
      <w:pgMar w:top="993" w:right="907" w:bottom="1134" w:left="85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B0" w:rsidRDefault="008221B0">
      <w:r>
        <w:separator/>
      </w:r>
    </w:p>
    <w:p w:rsidR="008221B0" w:rsidRDefault="008221B0"/>
  </w:endnote>
  <w:endnote w:type="continuationSeparator" w:id="0">
    <w:p w:rsidR="008221B0" w:rsidRDefault="008221B0">
      <w:r>
        <w:continuationSeparator/>
      </w:r>
    </w:p>
    <w:p w:rsidR="008221B0" w:rsidRDefault="00822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A4" w:rsidRPr="00502BE9" w:rsidRDefault="004E23A4">
    <w:pPr>
      <w:jc w:val="center"/>
    </w:pPr>
    <w:r w:rsidRPr="00502BE9">
      <w:fldChar w:fldCharType="begin"/>
    </w:r>
    <w:r w:rsidRPr="00502BE9">
      <w:instrText xml:space="preserve"> PAGE   \* MERGEFORMAT </w:instrText>
    </w:r>
    <w:r w:rsidRPr="00502BE9">
      <w:fldChar w:fldCharType="separate"/>
    </w:r>
    <w:r w:rsidR="008B489C">
      <w:rPr>
        <w:noProof/>
      </w:rPr>
      <w:t>2</w:t>
    </w:r>
    <w:r w:rsidRPr="00502BE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5B" w:rsidRDefault="0066185B" w:rsidP="0066185B">
    <w:pPr>
      <w:pStyle w:val="Footer"/>
      <w:jc w:val="center"/>
    </w:pPr>
    <w:r>
      <w:fldChar w:fldCharType="begin"/>
    </w:r>
    <w:r>
      <w:instrText xml:space="preserve"> PAGE   \* MERGEFORMAT </w:instrText>
    </w:r>
    <w:r>
      <w:fldChar w:fldCharType="separate"/>
    </w:r>
    <w:r w:rsidR="008B489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B0" w:rsidRDefault="008221B0">
      <w:r>
        <w:separator/>
      </w:r>
    </w:p>
    <w:p w:rsidR="008221B0" w:rsidRDefault="008221B0"/>
  </w:footnote>
  <w:footnote w:type="continuationSeparator" w:id="0">
    <w:p w:rsidR="008221B0" w:rsidRDefault="008221B0">
      <w:r>
        <w:continuationSeparator/>
      </w:r>
    </w:p>
    <w:p w:rsidR="008221B0" w:rsidRDefault="008221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5">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B62E14"/>
    <w:multiLevelType w:val="hybridMultilevel"/>
    <w:tmpl w:val="DF6E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A2497"/>
    <w:multiLevelType w:val="multilevel"/>
    <w:tmpl w:val="EFDE9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8A42259"/>
    <w:multiLevelType w:val="hybridMultilevel"/>
    <w:tmpl w:val="184A0D78"/>
    <w:lvl w:ilvl="0" w:tplc="E738ED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F90B6E"/>
    <w:multiLevelType w:val="hybridMultilevel"/>
    <w:tmpl w:val="91F4D84C"/>
    <w:lvl w:ilvl="0" w:tplc="25F46748">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2"/>
  </w:num>
  <w:num w:numId="5">
    <w:abstractNumId w:val="11"/>
  </w:num>
  <w:num w:numId="6">
    <w:abstractNumId w:val="9"/>
  </w:num>
  <w:num w:numId="7">
    <w:abstractNumId w:val="7"/>
  </w:num>
  <w:num w:numId="8">
    <w:abstractNumId w:val="3"/>
  </w:num>
  <w:num w:numId="9">
    <w:abstractNumId w:val="6"/>
  </w:num>
  <w:num w:numId="10">
    <w:abstractNumId w:val="2"/>
  </w:num>
  <w:num w:numId="11">
    <w:abstractNumId w:val="0"/>
  </w:num>
  <w:num w:numId="12">
    <w:abstractNumId w:val="15"/>
  </w:num>
  <w:num w:numId="13">
    <w:abstractNumId w:val="10"/>
  </w:num>
  <w:num w:numId="14">
    <w:abstractNumId w:val="8"/>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60"/>
    <w:rsid w:val="00007AEA"/>
    <w:rsid w:val="00012F0C"/>
    <w:rsid w:val="00013C14"/>
    <w:rsid w:val="000369C3"/>
    <w:rsid w:val="0004320C"/>
    <w:rsid w:val="000458A0"/>
    <w:rsid w:val="00055B60"/>
    <w:rsid w:val="00073BF0"/>
    <w:rsid w:val="00076AF4"/>
    <w:rsid w:val="00095105"/>
    <w:rsid w:val="000A06DA"/>
    <w:rsid w:val="000A3725"/>
    <w:rsid w:val="000B6A46"/>
    <w:rsid w:val="000B7D31"/>
    <w:rsid w:val="000C3FA2"/>
    <w:rsid w:val="000C59EF"/>
    <w:rsid w:val="000D5B8C"/>
    <w:rsid w:val="000E2D58"/>
    <w:rsid w:val="000E375F"/>
    <w:rsid w:val="00100A55"/>
    <w:rsid w:val="00113761"/>
    <w:rsid w:val="00135863"/>
    <w:rsid w:val="00141C82"/>
    <w:rsid w:val="001464EB"/>
    <w:rsid w:val="00155F15"/>
    <w:rsid w:val="001573BA"/>
    <w:rsid w:val="00160325"/>
    <w:rsid w:val="001610F8"/>
    <w:rsid w:val="001A183A"/>
    <w:rsid w:val="001B3A56"/>
    <w:rsid w:val="001B59F4"/>
    <w:rsid w:val="001B6BFF"/>
    <w:rsid w:val="001C39ED"/>
    <w:rsid w:val="001D0F49"/>
    <w:rsid w:val="001D1B21"/>
    <w:rsid w:val="001E0729"/>
    <w:rsid w:val="001E49CC"/>
    <w:rsid w:val="001E5CC8"/>
    <w:rsid w:val="001E6F4F"/>
    <w:rsid w:val="001F3ECA"/>
    <w:rsid w:val="001F47E2"/>
    <w:rsid w:val="001F6D46"/>
    <w:rsid w:val="0020553C"/>
    <w:rsid w:val="00213E39"/>
    <w:rsid w:val="00221B80"/>
    <w:rsid w:val="0023192F"/>
    <w:rsid w:val="00234EF6"/>
    <w:rsid w:val="00247CDA"/>
    <w:rsid w:val="002512E1"/>
    <w:rsid w:val="00270D05"/>
    <w:rsid w:val="002717B7"/>
    <w:rsid w:val="00272A49"/>
    <w:rsid w:val="00282B39"/>
    <w:rsid w:val="00283C2A"/>
    <w:rsid w:val="00284003"/>
    <w:rsid w:val="00286DB6"/>
    <w:rsid w:val="00291316"/>
    <w:rsid w:val="002917ED"/>
    <w:rsid w:val="00296847"/>
    <w:rsid w:val="0029792A"/>
    <w:rsid w:val="002A2775"/>
    <w:rsid w:val="002A4CCB"/>
    <w:rsid w:val="002B62DA"/>
    <w:rsid w:val="002D4E66"/>
    <w:rsid w:val="002E193A"/>
    <w:rsid w:val="002E280F"/>
    <w:rsid w:val="002E333D"/>
    <w:rsid w:val="002E670C"/>
    <w:rsid w:val="002F0124"/>
    <w:rsid w:val="00317D41"/>
    <w:rsid w:val="0032212B"/>
    <w:rsid w:val="00326304"/>
    <w:rsid w:val="00335BB2"/>
    <w:rsid w:val="00336C7B"/>
    <w:rsid w:val="003373C2"/>
    <w:rsid w:val="0034674B"/>
    <w:rsid w:val="00367FE5"/>
    <w:rsid w:val="0037240A"/>
    <w:rsid w:val="00377394"/>
    <w:rsid w:val="00381D71"/>
    <w:rsid w:val="00382712"/>
    <w:rsid w:val="00393F6C"/>
    <w:rsid w:val="003B364D"/>
    <w:rsid w:val="003B71FC"/>
    <w:rsid w:val="003E20AA"/>
    <w:rsid w:val="003E2410"/>
    <w:rsid w:val="003E77C8"/>
    <w:rsid w:val="003F1C59"/>
    <w:rsid w:val="0040042B"/>
    <w:rsid w:val="00403C3A"/>
    <w:rsid w:val="004042E1"/>
    <w:rsid w:val="00407903"/>
    <w:rsid w:val="004127D9"/>
    <w:rsid w:val="00421192"/>
    <w:rsid w:val="00423AE2"/>
    <w:rsid w:val="00430D36"/>
    <w:rsid w:val="00432C95"/>
    <w:rsid w:val="00442CD4"/>
    <w:rsid w:val="00457F54"/>
    <w:rsid w:val="0046338F"/>
    <w:rsid w:val="0046555E"/>
    <w:rsid w:val="00475F12"/>
    <w:rsid w:val="004856C6"/>
    <w:rsid w:val="00496201"/>
    <w:rsid w:val="00497E97"/>
    <w:rsid w:val="004A31C7"/>
    <w:rsid w:val="004A5B28"/>
    <w:rsid w:val="004B2A40"/>
    <w:rsid w:val="004C4886"/>
    <w:rsid w:val="004C56F7"/>
    <w:rsid w:val="004E23A4"/>
    <w:rsid w:val="004E5E38"/>
    <w:rsid w:val="004F692D"/>
    <w:rsid w:val="004F6D96"/>
    <w:rsid w:val="00502B83"/>
    <w:rsid w:val="00502BE9"/>
    <w:rsid w:val="00524B7C"/>
    <w:rsid w:val="00534ACA"/>
    <w:rsid w:val="00541D44"/>
    <w:rsid w:val="00547B95"/>
    <w:rsid w:val="00555E62"/>
    <w:rsid w:val="00565D56"/>
    <w:rsid w:val="005771B1"/>
    <w:rsid w:val="00577764"/>
    <w:rsid w:val="00577BCE"/>
    <w:rsid w:val="00580BD5"/>
    <w:rsid w:val="005813D4"/>
    <w:rsid w:val="00584AB4"/>
    <w:rsid w:val="00586A58"/>
    <w:rsid w:val="005878D5"/>
    <w:rsid w:val="00591949"/>
    <w:rsid w:val="00593C11"/>
    <w:rsid w:val="005A235E"/>
    <w:rsid w:val="005A4513"/>
    <w:rsid w:val="005B3484"/>
    <w:rsid w:val="005B67DA"/>
    <w:rsid w:val="005E212D"/>
    <w:rsid w:val="005E34F7"/>
    <w:rsid w:val="005E4096"/>
    <w:rsid w:val="005F328E"/>
    <w:rsid w:val="005F42AF"/>
    <w:rsid w:val="005F4B6C"/>
    <w:rsid w:val="00610393"/>
    <w:rsid w:val="00612C5A"/>
    <w:rsid w:val="0062268D"/>
    <w:rsid w:val="006268FF"/>
    <w:rsid w:val="00640EA4"/>
    <w:rsid w:val="006504AC"/>
    <w:rsid w:val="00652057"/>
    <w:rsid w:val="00652369"/>
    <w:rsid w:val="00652C20"/>
    <w:rsid w:val="0066185B"/>
    <w:rsid w:val="00662AD9"/>
    <w:rsid w:val="006777C2"/>
    <w:rsid w:val="00686291"/>
    <w:rsid w:val="0069310C"/>
    <w:rsid w:val="0069535D"/>
    <w:rsid w:val="00697A19"/>
    <w:rsid w:val="006A608E"/>
    <w:rsid w:val="006B0238"/>
    <w:rsid w:val="006B1728"/>
    <w:rsid w:val="006C77E5"/>
    <w:rsid w:val="006D51C6"/>
    <w:rsid w:val="006D6ED7"/>
    <w:rsid w:val="006E788D"/>
    <w:rsid w:val="006F5254"/>
    <w:rsid w:val="00702A56"/>
    <w:rsid w:val="00725B22"/>
    <w:rsid w:val="0075415A"/>
    <w:rsid w:val="00766DA9"/>
    <w:rsid w:val="00783CC6"/>
    <w:rsid w:val="0079568E"/>
    <w:rsid w:val="00796678"/>
    <w:rsid w:val="007A553F"/>
    <w:rsid w:val="007B0486"/>
    <w:rsid w:val="007B1CD6"/>
    <w:rsid w:val="007B2C06"/>
    <w:rsid w:val="007B533C"/>
    <w:rsid w:val="007B5822"/>
    <w:rsid w:val="007B65C9"/>
    <w:rsid w:val="007B7D76"/>
    <w:rsid w:val="007C2357"/>
    <w:rsid w:val="007C45DE"/>
    <w:rsid w:val="007D343F"/>
    <w:rsid w:val="007D7FC2"/>
    <w:rsid w:val="007E3FBF"/>
    <w:rsid w:val="007F5940"/>
    <w:rsid w:val="00816A67"/>
    <w:rsid w:val="008221B0"/>
    <w:rsid w:val="00830C45"/>
    <w:rsid w:val="0083117F"/>
    <w:rsid w:val="00846C43"/>
    <w:rsid w:val="00847712"/>
    <w:rsid w:val="00854903"/>
    <w:rsid w:val="00866A69"/>
    <w:rsid w:val="00875DF1"/>
    <w:rsid w:val="00877F0E"/>
    <w:rsid w:val="00883E70"/>
    <w:rsid w:val="008A3130"/>
    <w:rsid w:val="008B45D6"/>
    <w:rsid w:val="008B489C"/>
    <w:rsid w:val="008B794E"/>
    <w:rsid w:val="008C06B0"/>
    <w:rsid w:val="008D704D"/>
    <w:rsid w:val="008F109F"/>
    <w:rsid w:val="008F3568"/>
    <w:rsid w:val="00910459"/>
    <w:rsid w:val="00914B31"/>
    <w:rsid w:val="00915910"/>
    <w:rsid w:val="009358A9"/>
    <w:rsid w:val="0093642B"/>
    <w:rsid w:val="0093737B"/>
    <w:rsid w:val="00943711"/>
    <w:rsid w:val="00946E72"/>
    <w:rsid w:val="00952DF8"/>
    <w:rsid w:val="00957DED"/>
    <w:rsid w:val="0096334C"/>
    <w:rsid w:val="00967C44"/>
    <w:rsid w:val="00975446"/>
    <w:rsid w:val="00975930"/>
    <w:rsid w:val="00980489"/>
    <w:rsid w:val="009A0C42"/>
    <w:rsid w:val="009A511F"/>
    <w:rsid w:val="009B11EE"/>
    <w:rsid w:val="009B3EFB"/>
    <w:rsid w:val="009C3024"/>
    <w:rsid w:val="009C46F8"/>
    <w:rsid w:val="009D5DE2"/>
    <w:rsid w:val="009D6355"/>
    <w:rsid w:val="009E1EE0"/>
    <w:rsid w:val="009E3727"/>
    <w:rsid w:val="009F348C"/>
    <w:rsid w:val="00A12990"/>
    <w:rsid w:val="00A23776"/>
    <w:rsid w:val="00A31E23"/>
    <w:rsid w:val="00A33D2E"/>
    <w:rsid w:val="00A36CD2"/>
    <w:rsid w:val="00A4419D"/>
    <w:rsid w:val="00A44DF5"/>
    <w:rsid w:val="00A504D6"/>
    <w:rsid w:val="00A516A9"/>
    <w:rsid w:val="00A531EA"/>
    <w:rsid w:val="00A56D7C"/>
    <w:rsid w:val="00A70B8E"/>
    <w:rsid w:val="00A72AD9"/>
    <w:rsid w:val="00A750E2"/>
    <w:rsid w:val="00A858F7"/>
    <w:rsid w:val="00A87549"/>
    <w:rsid w:val="00A97CE4"/>
    <w:rsid w:val="00AA6972"/>
    <w:rsid w:val="00AA6A5B"/>
    <w:rsid w:val="00AD690A"/>
    <w:rsid w:val="00AE00B8"/>
    <w:rsid w:val="00AF3424"/>
    <w:rsid w:val="00B10C29"/>
    <w:rsid w:val="00B1575E"/>
    <w:rsid w:val="00B17474"/>
    <w:rsid w:val="00B22A8D"/>
    <w:rsid w:val="00B251BE"/>
    <w:rsid w:val="00B33FF0"/>
    <w:rsid w:val="00B551FA"/>
    <w:rsid w:val="00B57054"/>
    <w:rsid w:val="00B57F28"/>
    <w:rsid w:val="00B6137C"/>
    <w:rsid w:val="00B6569F"/>
    <w:rsid w:val="00B7169D"/>
    <w:rsid w:val="00B803A9"/>
    <w:rsid w:val="00B81767"/>
    <w:rsid w:val="00B82C15"/>
    <w:rsid w:val="00B83BA6"/>
    <w:rsid w:val="00B92AEA"/>
    <w:rsid w:val="00B9716C"/>
    <w:rsid w:val="00B971F0"/>
    <w:rsid w:val="00BA2BB0"/>
    <w:rsid w:val="00BB13C0"/>
    <w:rsid w:val="00BB1567"/>
    <w:rsid w:val="00BB7549"/>
    <w:rsid w:val="00BE1D8E"/>
    <w:rsid w:val="00BF3596"/>
    <w:rsid w:val="00BF627F"/>
    <w:rsid w:val="00C05166"/>
    <w:rsid w:val="00C067E7"/>
    <w:rsid w:val="00C22A54"/>
    <w:rsid w:val="00C23746"/>
    <w:rsid w:val="00C23F9D"/>
    <w:rsid w:val="00C3037F"/>
    <w:rsid w:val="00C31867"/>
    <w:rsid w:val="00C32B17"/>
    <w:rsid w:val="00C331DE"/>
    <w:rsid w:val="00C37DBB"/>
    <w:rsid w:val="00C44789"/>
    <w:rsid w:val="00C448E6"/>
    <w:rsid w:val="00C4717B"/>
    <w:rsid w:val="00C477FA"/>
    <w:rsid w:val="00C564DA"/>
    <w:rsid w:val="00C56D66"/>
    <w:rsid w:val="00C6723E"/>
    <w:rsid w:val="00C67867"/>
    <w:rsid w:val="00C7528F"/>
    <w:rsid w:val="00C859AB"/>
    <w:rsid w:val="00C9523C"/>
    <w:rsid w:val="00CA2ABB"/>
    <w:rsid w:val="00CA5117"/>
    <w:rsid w:val="00CA6510"/>
    <w:rsid w:val="00CC11AE"/>
    <w:rsid w:val="00CC4FD9"/>
    <w:rsid w:val="00CE188E"/>
    <w:rsid w:val="00D05AE0"/>
    <w:rsid w:val="00D11AD3"/>
    <w:rsid w:val="00D17C40"/>
    <w:rsid w:val="00D20433"/>
    <w:rsid w:val="00D27DB5"/>
    <w:rsid w:val="00D32023"/>
    <w:rsid w:val="00D33ACD"/>
    <w:rsid w:val="00D360B7"/>
    <w:rsid w:val="00D52068"/>
    <w:rsid w:val="00D53F2F"/>
    <w:rsid w:val="00D54F75"/>
    <w:rsid w:val="00D57A50"/>
    <w:rsid w:val="00D879CB"/>
    <w:rsid w:val="00D9051A"/>
    <w:rsid w:val="00D94EF7"/>
    <w:rsid w:val="00DA3501"/>
    <w:rsid w:val="00DA5851"/>
    <w:rsid w:val="00DB5D10"/>
    <w:rsid w:val="00DC139C"/>
    <w:rsid w:val="00DC4B6E"/>
    <w:rsid w:val="00DE037F"/>
    <w:rsid w:val="00DF600B"/>
    <w:rsid w:val="00E06D16"/>
    <w:rsid w:val="00E317F9"/>
    <w:rsid w:val="00E349B5"/>
    <w:rsid w:val="00E534AD"/>
    <w:rsid w:val="00E54606"/>
    <w:rsid w:val="00E558CC"/>
    <w:rsid w:val="00E57041"/>
    <w:rsid w:val="00E722F5"/>
    <w:rsid w:val="00E90C7B"/>
    <w:rsid w:val="00E92675"/>
    <w:rsid w:val="00E96E8E"/>
    <w:rsid w:val="00E97255"/>
    <w:rsid w:val="00EA0D25"/>
    <w:rsid w:val="00EB12E2"/>
    <w:rsid w:val="00EB15E4"/>
    <w:rsid w:val="00EB3472"/>
    <w:rsid w:val="00EB506B"/>
    <w:rsid w:val="00EC287D"/>
    <w:rsid w:val="00EC2BCC"/>
    <w:rsid w:val="00ED1C1A"/>
    <w:rsid w:val="00EE159D"/>
    <w:rsid w:val="00EE3EC9"/>
    <w:rsid w:val="00F544AA"/>
    <w:rsid w:val="00F56588"/>
    <w:rsid w:val="00F640F2"/>
    <w:rsid w:val="00F75938"/>
    <w:rsid w:val="00F76B06"/>
    <w:rsid w:val="00F77911"/>
    <w:rsid w:val="00F95F8F"/>
    <w:rsid w:val="00F97A91"/>
    <w:rsid w:val="00FA24CA"/>
    <w:rsid w:val="00FC2B5F"/>
    <w:rsid w:val="00FD0C37"/>
    <w:rsid w:val="00FD3FB5"/>
    <w:rsid w:val="00FE5ADA"/>
    <w:rsid w:val="00FF0349"/>
    <w:rsid w:val="00FF2A94"/>
    <w:rsid w:val="00FF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213E39"/>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DBB"/>
    <w:pPr>
      <w:tabs>
        <w:tab w:val="center" w:pos="4513"/>
        <w:tab w:val="right" w:pos="9026"/>
      </w:tabs>
    </w:pPr>
    <w:rPr>
      <w:rFonts w:cs="Times New Roman"/>
      <w:lang w:val="x-none"/>
    </w:rPr>
  </w:style>
  <w:style w:type="character" w:customStyle="1" w:styleId="HeaderChar">
    <w:name w:val="Header Char"/>
    <w:link w:val="Header"/>
    <w:uiPriority w:val="99"/>
    <w:rsid w:val="00C37DBB"/>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1464EB"/>
    <w:pPr>
      <w:spacing w:line="320" w:lineRule="exac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0"/>
      </w:numPr>
      <w:ind w:left="567" w:hanging="567"/>
    </w:pPr>
  </w:style>
  <w:style w:type="paragraph" w:customStyle="1" w:styleId="PHEBulletpoints">
    <w:name w:val="PHE Bullet points"/>
    <w:link w:val="PHEBulletpointsChar"/>
    <w:rsid w:val="00502BE9"/>
    <w:pPr>
      <w:numPr>
        <w:numId w:val="1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284003"/>
    <w:pPr>
      <w:spacing w:line="240" w:lineRule="exact"/>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paragraph" w:styleId="Footer">
    <w:name w:val="footer"/>
    <w:basedOn w:val="Normal"/>
    <w:link w:val="FooterChar"/>
    <w:uiPriority w:val="99"/>
    <w:unhideWhenUsed/>
    <w:rsid w:val="004E23A4"/>
    <w:pPr>
      <w:tabs>
        <w:tab w:val="center" w:pos="4513"/>
        <w:tab w:val="right" w:pos="9026"/>
      </w:tabs>
    </w:p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FooterChar">
    <w:name w:val="Footer Char"/>
    <w:link w:val="Footer"/>
    <w:uiPriority w:val="99"/>
    <w:rsid w:val="004E23A4"/>
    <w:rPr>
      <w:rFonts w:ascii="Arial" w:hAnsi="Arial" w:cs="Arial"/>
      <w:sz w:val="24"/>
      <w:lang w:eastAsia="en-US"/>
    </w:rPr>
  </w:style>
  <w:style w:type="character" w:customStyle="1" w:styleId="PHEBulletpointsChar">
    <w:name w:val="PHE Bullet points Char"/>
    <w:link w:val="PHEBulletpoints"/>
    <w:rsid w:val="00EE159D"/>
    <w:rPr>
      <w:rFonts w:ascii="Arial" w:hAnsi="Arial"/>
      <w:sz w:val="24"/>
      <w:szCs w:val="24"/>
      <w:lang w:eastAsia="en-US" w:bidi="ar-SA"/>
    </w:rPr>
  </w:style>
  <w:style w:type="character" w:customStyle="1" w:styleId="PHEBulletpointsfornumberedtextChar">
    <w:name w:val="PHE Bullet points for numbered text Char"/>
    <w:basedOn w:val="PHEBulletpointsChar"/>
    <w:link w:val="PHEBulletpointsfornumberedtext"/>
    <w:rsid w:val="00EE159D"/>
    <w:rPr>
      <w:rFonts w:ascii="Arial" w:hAnsi="Arial"/>
      <w:sz w:val="24"/>
      <w:szCs w:val="24"/>
      <w:lang w:eastAsia="en-US" w:bidi="ar-SA"/>
    </w:rPr>
  </w:style>
  <w:style w:type="character" w:styleId="CommentReference">
    <w:name w:val="annotation reference"/>
    <w:uiPriority w:val="99"/>
    <w:semiHidden/>
    <w:unhideWhenUsed/>
    <w:rsid w:val="001D0F49"/>
    <w:rPr>
      <w:sz w:val="16"/>
      <w:szCs w:val="16"/>
    </w:rPr>
  </w:style>
  <w:style w:type="paragraph" w:styleId="CommentText">
    <w:name w:val="annotation text"/>
    <w:basedOn w:val="Normal"/>
    <w:link w:val="CommentTextChar"/>
    <w:uiPriority w:val="99"/>
    <w:semiHidden/>
    <w:unhideWhenUsed/>
    <w:rsid w:val="001D0F49"/>
    <w:rPr>
      <w:sz w:val="20"/>
    </w:rPr>
  </w:style>
  <w:style w:type="character" w:customStyle="1" w:styleId="CommentTextChar">
    <w:name w:val="Comment Text Char"/>
    <w:link w:val="CommentText"/>
    <w:uiPriority w:val="99"/>
    <w:semiHidden/>
    <w:rsid w:val="001D0F49"/>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1D0F49"/>
    <w:rPr>
      <w:b/>
      <w:bCs/>
    </w:rPr>
  </w:style>
  <w:style w:type="character" w:customStyle="1" w:styleId="CommentSubjectChar">
    <w:name w:val="Comment Subject Char"/>
    <w:link w:val="CommentSubject"/>
    <w:uiPriority w:val="99"/>
    <w:semiHidden/>
    <w:rsid w:val="001D0F49"/>
    <w:rPr>
      <w:rFonts w:ascii="Arial" w:hAnsi="Arial" w:cs="Arial"/>
      <w:b/>
      <w:bCs/>
      <w:lang w:eastAsia="en-US"/>
    </w:rPr>
  </w:style>
  <w:style w:type="paragraph" w:styleId="PlainText">
    <w:name w:val="Plain Text"/>
    <w:basedOn w:val="Normal"/>
    <w:link w:val="PlainTextChar"/>
    <w:uiPriority w:val="99"/>
    <w:semiHidden/>
    <w:unhideWhenUsed/>
    <w:rsid w:val="00E534AD"/>
    <w:rPr>
      <w:rFonts w:ascii="Calibri" w:eastAsia="Calibri" w:hAnsi="Calibri" w:cs="Consolas"/>
      <w:sz w:val="22"/>
      <w:szCs w:val="21"/>
    </w:rPr>
  </w:style>
  <w:style w:type="character" w:customStyle="1" w:styleId="PlainTextChar">
    <w:name w:val="Plain Text Char"/>
    <w:link w:val="PlainText"/>
    <w:uiPriority w:val="99"/>
    <w:semiHidden/>
    <w:rsid w:val="00E534AD"/>
    <w:rPr>
      <w:rFonts w:ascii="Calibri" w:eastAsia="Calibri" w:hAnsi="Calibri" w:cs="Consolas"/>
      <w:sz w:val="22"/>
      <w:szCs w:val="21"/>
      <w:lang w:eastAsia="en-US"/>
    </w:rPr>
  </w:style>
  <w:style w:type="table" w:styleId="TableGrid">
    <w:name w:val="Table Grid"/>
    <w:basedOn w:val="TableNormal"/>
    <w:uiPriority w:val="59"/>
    <w:rsid w:val="00291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F4F"/>
    <w:rPr>
      <w:rFonts w:ascii="Arial" w:hAnsi="Arial" w:cs="Arial"/>
      <w:sz w:val="24"/>
      <w:lang w:eastAsia="en-US"/>
    </w:rPr>
  </w:style>
  <w:style w:type="character" w:styleId="PlaceholderText">
    <w:name w:val="Placeholder Text"/>
    <w:basedOn w:val="DefaultParagraphFont"/>
    <w:uiPriority w:val="99"/>
    <w:semiHidden/>
    <w:rsid w:val="00403C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213E39"/>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DBB"/>
    <w:pPr>
      <w:tabs>
        <w:tab w:val="center" w:pos="4513"/>
        <w:tab w:val="right" w:pos="9026"/>
      </w:tabs>
    </w:pPr>
    <w:rPr>
      <w:rFonts w:cs="Times New Roman"/>
      <w:lang w:val="x-none"/>
    </w:rPr>
  </w:style>
  <w:style w:type="character" w:customStyle="1" w:styleId="HeaderChar">
    <w:name w:val="Header Char"/>
    <w:link w:val="Header"/>
    <w:uiPriority w:val="99"/>
    <w:rsid w:val="00C37DBB"/>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1464EB"/>
    <w:pPr>
      <w:spacing w:line="320" w:lineRule="exac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0"/>
      </w:numPr>
      <w:ind w:left="567" w:hanging="567"/>
    </w:pPr>
  </w:style>
  <w:style w:type="paragraph" w:customStyle="1" w:styleId="PHEBulletpoints">
    <w:name w:val="PHE Bullet points"/>
    <w:link w:val="PHEBulletpointsChar"/>
    <w:rsid w:val="00502BE9"/>
    <w:pPr>
      <w:numPr>
        <w:numId w:val="1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284003"/>
    <w:pPr>
      <w:spacing w:line="240" w:lineRule="exact"/>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paragraph" w:styleId="Footer">
    <w:name w:val="footer"/>
    <w:basedOn w:val="Normal"/>
    <w:link w:val="FooterChar"/>
    <w:uiPriority w:val="99"/>
    <w:unhideWhenUsed/>
    <w:rsid w:val="004E23A4"/>
    <w:pPr>
      <w:tabs>
        <w:tab w:val="center" w:pos="4513"/>
        <w:tab w:val="right" w:pos="9026"/>
      </w:tabs>
    </w:p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FooterChar">
    <w:name w:val="Footer Char"/>
    <w:link w:val="Footer"/>
    <w:uiPriority w:val="99"/>
    <w:rsid w:val="004E23A4"/>
    <w:rPr>
      <w:rFonts w:ascii="Arial" w:hAnsi="Arial" w:cs="Arial"/>
      <w:sz w:val="24"/>
      <w:lang w:eastAsia="en-US"/>
    </w:rPr>
  </w:style>
  <w:style w:type="character" w:customStyle="1" w:styleId="PHEBulletpointsChar">
    <w:name w:val="PHE Bullet points Char"/>
    <w:link w:val="PHEBulletpoints"/>
    <w:rsid w:val="00EE159D"/>
    <w:rPr>
      <w:rFonts w:ascii="Arial" w:hAnsi="Arial"/>
      <w:sz w:val="24"/>
      <w:szCs w:val="24"/>
      <w:lang w:eastAsia="en-US" w:bidi="ar-SA"/>
    </w:rPr>
  </w:style>
  <w:style w:type="character" w:customStyle="1" w:styleId="PHEBulletpointsfornumberedtextChar">
    <w:name w:val="PHE Bullet points for numbered text Char"/>
    <w:basedOn w:val="PHEBulletpointsChar"/>
    <w:link w:val="PHEBulletpointsfornumberedtext"/>
    <w:rsid w:val="00EE159D"/>
    <w:rPr>
      <w:rFonts w:ascii="Arial" w:hAnsi="Arial"/>
      <w:sz w:val="24"/>
      <w:szCs w:val="24"/>
      <w:lang w:eastAsia="en-US" w:bidi="ar-SA"/>
    </w:rPr>
  </w:style>
  <w:style w:type="character" w:styleId="CommentReference">
    <w:name w:val="annotation reference"/>
    <w:uiPriority w:val="99"/>
    <w:semiHidden/>
    <w:unhideWhenUsed/>
    <w:rsid w:val="001D0F49"/>
    <w:rPr>
      <w:sz w:val="16"/>
      <w:szCs w:val="16"/>
    </w:rPr>
  </w:style>
  <w:style w:type="paragraph" w:styleId="CommentText">
    <w:name w:val="annotation text"/>
    <w:basedOn w:val="Normal"/>
    <w:link w:val="CommentTextChar"/>
    <w:uiPriority w:val="99"/>
    <w:semiHidden/>
    <w:unhideWhenUsed/>
    <w:rsid w:val="001D0F49"/>
    <w:rPr>
      <w:sz w:val="20"/>
    </w:rPr>
  </w:style>
  <w:style w:type="character" w:customStyle="1" w:styleId="CommentTextChar">
    <w:name w:val="Comment Text Char"/>
    <w:link w:val="CommentText"/>
    <w:uiPriority w:val="99"/>
    <w:semiHidden/>
    <w:rsid w:val="001D0F49"/>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1D0F49"/>
    <w:rPr>
      <w:b/>
      <w:bCs/>
    </w:rPr>
  </w:style>
  <w:style w:type="character" w:customStyle="1" w:styleId="CommentSubjectChar">
    <w:name w:val="Comment Subject Char"/>
    <w:link w:val="CommentSubject"/>
    <w:uiPriority w:val="99"/>
    <w:semiHidden/>
    <w:rsid w:val="001D0F49"/>
    <w:rPr>
      <w:rFonts w:ascii="Arial" w:hAnsi="Arial" w:cs="Arial"/>
      <w:b/>
      <w:bCs/>
      <w:lang w:eastAsia="en-US"/>
    </w:rPr>
  </w:style>
  <w:style w:type="paragraph" w:styleId="PlainText">
    <w:name w:val="Plain Text"/>
    <w:basedOn w:val="Normal"/>
    <w:link w:val="PlainTextChar"/>
    <w:uiPriority w:val="99"/>
    <w:semiHidden/>
    <w:unhideWhenUsed/>
    <w:rsid w:val="00E534AD"/>
    <w:rPr>
      <w:rFonts w:ascii="Calibri" w:eastAsia="Calibri" w:hAnsi="Calibri" w:cs="Consolas"/>
      <w:sz w:val="22"/>
      <w:szCs w:val="21"/>
    </w:rPr>
  </w:style>
  <w:style w:type="character" w:customStyle="1" w:styleId="PlainTextChar">
    <w:name w:val="Plain Text Char"/>
    <w:link w:val="PlainText"/>
    <w:uiPriority w:val="99"/>
    <w:semiHidden/>
    <w:rsid w:val="00E534AD"/>
    <w:rPr>
      <w:rFonts w:ascii="Calibri" w:eastAsia="Calibri" w:hAnsi="Calibri" w:cs="Consolas"/>
      <w:sz w:val="22"/>
      <w:szCs w:val="21"/>
      <w:lang w:eastAsia="en-US"/>
    </w:rPr>
  </w:style>
  <w:style w:type="table" w:styleId="TableGrid">
    <w:name w:val="Table Grid"/>
    <w:basedOn w:val="TableNormal"/>
    <w:uiPriority w:val="59"/>
    <w:rsid w:val="00291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F4F"/>
    <w:rPr>
      <w:rFonts w:ascii="Arial" w:hAnsi="Arial" w:cs="Arial"/>
      <w:sz w:val="24"/>
      <w:lang w:eastAsia="en-US"/>
    </w:rPr>
  </w:style>
  <w:style w:type="character" w:styleId="PlaceholderText">
    <w:name w:val="Placeholder Text"/>
    <w:basedOn w:val="DefaultParagraphFont"/>
    <w:uiPriority w:val="99"/>
    <w:semiHidden/>
    <w:rsid w:val="00403C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754">
      <w:bodyDiv w:val="1"/>
      <w:marLeft w:val="0"/>
      <w:marRight w:val="0"/>
      <w:marTop w:val="0"/>
      <w:marBottom w:val="0"/>
      <w:divBdr>
        <w:top w:val="none" w:sz="0" w:space="0" w:color="auto"/>
        <w:left w:val="none" w:sz="0" w:space="0" w:color="auto"/>
        <w:bottom w:val="none" w:sz="0" w:space="0" w:color="auto"/>
        <w:right w:val="none" w:sz="0" w:space="0" w:color="auto"/>
      </w:divBdr>
    </w:div>
    <w:div w:id="174926414">
      <w:bodyDiv w:val="1"/>
      <w:marLeft w:val="0"/>
      <w:marRight w:val="0"/>
      <w:marTop w:val="0"/>
      <w:marBottom w:val="0"/>
      <w:divBdr>
        <w:top w:val="none" w:sz="0" w:space="0" w:color="auto"/>
        <w:left w:val="none" w:sz="0" w:space="0" w:color="auto"/>
        <w:bottom w:val="none" w:sz="0" w:space="0" w:color="auto"/>
        <w:right w:val="none" w:sz="0" w:space="0" w:color="auto"/>
      </w:divBdr>
    </w:div>
    <w:div w:id="476803917">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108668232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Hemmings.PHE\Desktop\Useful%20things\PHE%20standard%20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BB806-40FC-4E77-B95B-C0FB07B1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PHE standard publication template.dot</Template>
  <TotalTime>8</TotalTime>
  <Pages>7</Pages>
  <Words>1646</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Main heading</vt:lpstr>
    </vt:vector>
  </TitlesOfParts>
  <Company/>
  <LinksUpToDate>false</LinksUpToDate>
  <CharactersWithSpaces>10223</CharactersWithSpaces>
  <SharedDoc>false</SharedDoc>
  <HLinks>
    <vt:vector size="12" baseType="variant">
      <vt:variant>
        <vt:i4>3145772</vt:i4>
      </vt:variant>
      <vt:variant>
        <vt:i4>3</vt:i4>
      </vt:variant>
      <vt:variant>
        <vt:i4>0</vt:i4>
      </vt:variant>
      <vt:variant>
        <vt:i4>5</vt:i4>
      </vt:variant>
      <vt:variant>
        <vt:lpwstr>mailto:av2013.av_tumour@CASREF01</vt:lpwstr>
      </vt:variant>
      <vt:variant>
        <vt:lpwstr/>
      </vt:variant>
      <vt:variant>
        <vt:i4>3080255</vt:i4>
      </vt:variant>
      <vt:variant>
        <vt:i4>0</vt:i4>
      </vt:variant>
      <vt:variant>
        <vt:i4>0</vt:i4>
      </vt:variant>
      <vt:variant>
        <vt:i4>5</vt:i4>
      </vt:variant>
      <vt:variant>
        <vt:lpwstr>mailto:analysisncr.av_tumour@cas1502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Philip Hemmings</dc:creator>
  <cp:lastModifiedBy>Sally Vernon</cp:lastModifiedBy>
  <cp:revision>4</cp:revision>
  <cp:lastPrinted>2014-05-15T11:48:00Z</cp:lastPrinted>
  <dcterms:created xsi:type="dcterms:W3CDTF">2017-11-15T17:11:00Z</dcterms:created>
  <dcterms:modified xsi:type="dcterms:W3CDTF">2017-11-15T17:19:00Z</dcterms:modified>
</cp:coreProperties>
</file>