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7E" w:rsidRPr="005A7C61" w:rsidRDefault="00F77F25" w:rsidP="005A7C61">
      <w:pPr>
        <w:rPr>
          <w:rFonts w:ascii="Arial" w:hAnsi="Arial" w:cs="Arial"/>
        </w:rPr>
      </w:pPr>
      <w:r>
        <w:rPr>
          <w:rFonts w:ascii="Arial" w:hAnsi="Arial" w:cs="Arial"/>
        </w:rPr>
        <w:t>Get Data Out</w:t>
      </w:r>
      <w:bookmarkStart w:id="0" w:name="_GoBack"/>
      <w:bookmarkEnd w:id="0"/>
      <w:r w:rsidR="00446B9F" w:rsidRPr="005A7C61">
        <w:rPr>
          <w:rFonts w:ascii="Arial" w:hAnsi="Arial" w:cs="Arial"/>
        </w:rPr>
        <w:t xml:space="preserve"> cancer survival analysis SOP.</w:t>
      </w:r>
    </w:p>
    <w:p w:rsidR="00446B9F" w:rsidRPr="005A7C61" w:rsidRDefault="00446B9F" w:rsidP="005A7C61">
      <w:pPr>
        <w:rPr>
          <w:rFonts w:ascii="Arial" w:hAnsi="Arial" w:cs="Arial"/>
        </w:rPr>
      </w:pPr>
      <w:r w:rsidRPr="005A7C61">
        <w:rPr>
          <w:rFonts w:ascii="Arial" w:hAnsi="Arial" w:cs="Arial"/>
        </w:rPr>
        <w:t xml:space="preserve">This analysis follows the UK and Ireland Association of Cancer Registries </w:t>
      </w:r>
      <w:r w:rsidRPr="005A7C61">
        <w:rPr>
          <w:rFonts w:ascii="Arial" w:hAnsi="Arial" w:cs="Arial"/>
          <w:color w:val="414042"/>
          <w:shd w:val="clear" w:color="auto" w:fill="FFFFFF"/>
        </w:rPr>
        <w:t>ratified Standard Operating Procedure </w:t>
      </w:r>
      <w:hyperlink r:id="rId5" w:history="1">
        <w:r w:rsidRPr="005A7C61">
          <w:rPr>
            <w:rStyle w:val="Hyperlink"/>
            <w:rFonts w:ascii="Arial" w:hAnsi="Arial" w:cs="Arial"/>
            <w:color w:val="206095"/>
            <w:shd w:val="clear" w:color="auto" w:fill="FFFFFF"/>
          </w:rPr>
          <w:t>Guidelines on Population Based Cancer Survival Analysis</w:t>
        </w:r>
      </w:hyperlink>
      <w:r w:rsidRPr="005A7C61">
        <w:rPr>
          <w:rFonts w:ascii="Arial" w:hAnsi="Arial" w:cs="Arial"/>
        </w:rPr>
        <w:t xml:space="preserve">; these are the same guidelines that are used to produce the </w:t>
      </w:r>
      <w:hyperlink r:id="rId6" w:history="1">
        <w:r w:rsidRPr="005A7C61">
          <w:rPr>
            <w:rStyle w:val="Hyperlink"/>
            <w:rFonts w:ascii="Arial" w:hAnsi="Arial" w:cs="Arial"/>
          </w:rPr>
          <w:t>National Statistics on cancer survival</w:t>
        </w:r>
      </w:hyperlink>
      <w:r w:rsidRPr="005A7C61">
        <w:rPr>
          <w:rFonts w:ascii="Arial" w:hAnsi="Arial" w:cs="Arial"/>
        </w:rPr>
        <w:t xml:space="preserve"> in England.</w:t>
      </w:r>
      <w:r w:rsidR="005A7C61">
        <w:rPr>
          <w:rFonts w:ascii="Arial" w:hAnsi="Arial" w:cs="Arial"/>
        </w:rPr>
        <w:t xml:space="preserve"> </w:t>
      </w:r>
      <w:r w:rsidRPr="005A7C61">
        <w:rPr>
          <w:rFonts w:ascii="Arial" w:hAnsi="Arial" w:cs="Arial"/>
        </w:rPr>
        <w:t>The official 201</w:t>
      </w:r>
      <w:r w:rsidR="00CA5CCE">
        <w:rPr>
          <w:rFonts w:ascii="Arial" w:hAnsi="Arial" w:cs="Arial"/>
        </w:rPr>
        <w:t>6</w:t>
      </w:r>
      <w:r w:rsidRPr="005A7C61">
        <w:rPr>
          <w:rFonts w:ascii="Arial" w:hAnsi="Arial" w:cs="Arial"/>
        </w:rPr>
        <w:t xml:space="preserve"> registration extract is the basis for the data analysed here and is supplemented by vital status updates obtained from NHS Digital.</w:t>
      </w:r>
    </w:p>
    <w:p w:rsidR="00446B9F" w:rsidRPr="005A7C61" w:rsidRDefault="00446B9F" w:rsidP="005A7C61">
      <w:pPr>
        <w:pStyle w:val="NormalWeb"/>
        <w:shd w:val="clear" w:color="auto" w:fill="FFFFFF"/>
        <w:spacing w:before="0" w:beforeAutospacing="0" w:after="240" w:afterAutospacing="0" w:line="360" w:lineRule="atLeast"/>
        <w:rPr>
          <w:rFonts w:ascii="Arial" w:hAnsi="Arial" w:cs="Arial"/>
          <w:color w:val="414042"/>
          <w:sz w:val="22"/>
          <w:szCs w:val="22"/>
        </w:rPr>
      </w:pPr>
      <w:r w:rsidRPr="005A7C61">
        <w:rPr>
          <w:rFonts w:ascii="Arial" w:hAnsi="Arial" w:cs="Arial"/>
          <w:sz w:val="22"/>
          <w:szCs w:val="22"/>
        </w:rPr>
        <w:t xml:space="preserve">The survival estimates have been calculated using the </w:t>
      </w:r>
      <w:hyperlink r:id="rId7" w:history="1">
        <w:r w:rsidRPr="005A7C61">
          <w:rPr>
            <w:rStyle w:val="Hyperlink"/>
            <w:rFonts w:ascii="Arial" w:hAnsi="Arial" w:cs="Arial"/>
            <w:color w:val="206095"/>
            <w:sz w:val="22"/>
            <w:szCs w:val="22"/>
            <w:shd w:val="clear" w:color="auto" w:fill="FFFFFF"/>
          </w:rPr>
          <w:t>Pohar-Perme net survival estimator</w:t>
        </w:r>
      </w:hyperlink>
      <w:r w:rsidRPr="005A7C61">
        <w:rPr>
          <w:rFonts w:ascii="Arial" w:hAnsi="Arial" w:cs="Arial"/>
          <w:color w:val="414042"/>
          <w:sz w:val="22"/>
          <w:szCs w:val="22"/>
          <w:shd w:val="clear" w:color="auto" w:fill="FFFFFF"/>
        </w:rPr>
        <w:t>, as implemented by </w:t>
      </w:r>
      <w:hyperlink r:id="rId8" w:history="1">
        <w:r w:rsidRPr="005A7C61">
          <w:rPr>
            <w:rStyle w:val="Hyperlink"/>
            <w:rFonts w:ascii="Arial" w:hAnsi="Arial" w:cs="Arial"/>
            <w:color w:val="206095"/>
            <w:sz w:val="22"/>
            <w:szCs w:val="22"/>
            <w:shd w:val="clear" w:color="auto" w:fill="FFFFFF"/>
          </w:rPr>
          <w:t>Isabelle Clerc-Urmès, Michel Grzebyk and Guy Hédelin’s stns programme in Stata</w:t>
        </w:r>
      </w:hyperlink>
      <w:r w:rsidRPr="005A7C61">
        <w:rPr>
          <w:rFonts w:ascii="Arial" w:hAnsi="Arial" w:cs="Arial"/>
          <w:color w:val="414042"/>
          <w:sz w:val="22"/>
          <w:szCs w:val="22"/>
          <w:shd w:val="clear" w:color="auto" w:fill="FFFFFF"/>
        </w:rPr>
        <w:t>. </w:t>
      </w:r>
      <w:r w:rsidRPr="005A7C61">
        <w:rPr>
          <w:rFonts w:ascii="Arial" w:hAnsi="Arial" w:cs="Arial"/>
          <w:color w:val="414042"/>
          <w:sz w:val="22"/>
          <w:szCs w:val="22"/>
        </w:rPr>
        <w:t>Net survival is estimated with an excess hazard model in which the all-cause mortality is modelled as the sum of the excess (cancer-related) mortality hazard and the expected (or background) mortality.</w:t>
      </w:r>
    </w:p>
    <w:p w:rsidR="00446B9F" w:rsidRPr="005A7C61" w:rsidRDefault="00446B9F" w:rsidP="005A7C61">
      <w:pPr>
        <w:pStyle w:val="NormalWeb"/>
        <w:shd w:val="clear" w:color="auto" w:fill="FFFFFF"/>
        <w:spacing w:before="0" w:beforeAutospacing="0" w:after="240" w:afterAutospacing="0" w:line="360" w:lineRule="atLeast"/>
        <w:rPr>
          <w:rFonts w:ascii="Arial" w:hAnsi="Arial" w:cs="Arial"/>
          <w:color w:val="414042"/>
          <w:sz w:val="22"/>
          <w:szCs w:val="22"/>
          <w:shd w:val="clear" w:color="auto" w:fill="FFFFFF"/>
        </w:rPr>
      </w:pPr>
      <w:r w:rsidRPr="005A7C61">
        <w:rPr>
          <w:rFonts w:ascii="Arial" w:hAnsi="Arial" w:cs="Arial"/>
          <w:color w:val="414042"/>
          <w:sz w:val="22"/>
          <w:szCs w:val="22"/>
        </w:rPr>
        <w:t>Background mortality is derived from population life tables. T</w:t>
      </w:r>
      <w:r w:rsidRPr="005A7C61">
        <w:rPr>
          <w:rFonts w:ascii="Arial" w:hAnsi="Arial" w:cs="Arial"/>
          <w:color w:val="414042"/>
          <w:sz w:val="22"/>
          <w:szCs w:val="22"/>
          <w:shd w:val="clear" w:color="auto" w:fill="FFFFFF"/>
        </w:rPr>
        <w:t>he life tables used are supplied by the </w:t>
      </w:r>
      <w:hyperlink r:id="rId9" w:history="1">
        <w:r w:rsidR="000F7776" w:rsidRPr="006F560F">
          <w:rPr>
            <w:rStyle w:val="Hyperlink"/>
            <w:rFonts w:ascii="Arial" w:hAnsi="Arial" w:cs="Arial"/>
            <w:sz w:val="22"/>
            <w:szCs w:val="22"/>
            <w:shd w:val="clear" w:color="auto" w:fill="FFFFFF"/>
          </w:rPr>
          <w:t>Office for National Statistics</w:t>
        </w:r>
      </w:hyperlink>
      <w:r w:rsidRPr="005A7C61">
        <w:rPr>
          <w:rFonts w:ascii="Arial" w:hAnsi="Arial" w:cs="Arial"/>
          <w:color w:val="414042"/>
          <w:sz w:val="22"/>
          <w:szCs w:val="22"/>
          <w:shd w:val="clear" w:color="auto" w:fill="FFFFFF"/>
        </w:rPr>
        <w:t xml:space="preserve">. English life tables for </w:t>
      </w:r>
      <w:r w:rsidR="00AF5953">
        <w:rPr>
          <w:rFonts w:ascii="Arial" w:hAnsi="Arial" w:cs="Arial"/>
          <w:color w:val="414042"/>
          <w:sz w:val="22"/>
          <w:szCs w:val="22"/>
          <w:shd w:val="clear" w:color="auto" w:fill="FFFFFF"/>
        </w:rPr>
        <w:t>2014-</w:t>
      </w:r>
      <w:r w:rsidRPr="005A7C61">
        <w:rPr>
          <w:rFonts w:ascii="Arial" w:hAnsi="Arial" w:cs="Arial"/>
          <w:color w:val="414042"/>
          <w:sz w:val="22"/>
          <w:szCs w:val="22"/>
          <w:shd w:val="clear" w:color="auto" w:fill="FFFFFF"/>
        </w:rPr>
        <w:t>201</w:t>
      </w:r>
      <w:r w:rsidR="006F560F">
        <w:rPr>
          <w:rFonts w:ascii="Arial" w:hAnsi="Arial" w:cs="Arial"/>
          <w:color w:val="414042"/>
          <w:sz w:val="22"/>
          <w:szCs w:val="22"/>
          <w:shd w:val="clear" w:color="auto" w:fill="FFFFFF"/>
        </w:rPr>
        <w:t>6</w:t>
      </w:r>
      <w:r w:rsidRPr="005A7C61">
        <w:rPr>
          <w:rFonts w:ascii="Arial" w:hAnsi="Arial" w:cs="Arial"/>
          <w:color w:val="414042"/>
          <w:sz w:val="22"/>
          <w:szCs w:val="22"/>
          <w:shd w:val="clear" w:color="auto" w:fill="FFFFFF"/>
        </w:rPr>
        <w:t xml:space="preserve"> are used for 201</w:t>
      </w:r>
      <w:r w:rsidR="00AF5953">
        <w:rPr>
          <w:rFonts w:ascii="Arial" w:hAnsi="Arial" w:cs="Arial"/>
          <w:color w:val="414042"/>
          <w:sz w:val="22"/>
          <w:szCs w:val="22"/>
          <w:shd w:val="clear" w:color="auto" w:fill="FFFFFF"/>
        </w:rPr>
        <w:t>5</w:t>
      </w:r>
      <w:r w:rsidRPr="005A7C61">
        <w:rPr>
          <w:rFonts w:ascii="Arial" w:hAnsi="Arial" w:cs="Arial"/>
          <w:color w:val="414042"/>
          <w:sz w:val="22"/>
          <w:szCs w:val="22"/>
          <w:shd w:val="clear" w:color="auto" w:fill="FFFFFF"/>
        </w:rPr>
        <w:t xml:space="preserve"> to 201</w:t>
      </w:r>
      <w:r w:rsidR="006F560F">
        <w:rPr>
          <w:rFonts w:ascii="Arial" w:hAnsi="Arial" w:cs="Arial"/>
          <w:color w:val="414042"/>
          <w:sz w:val="22"/>
          <w:szCs w:val="22"/>
          <w:shd w:val="clear" w:color="auto" w:fill="FFFFFF"/>
        </w:rPr>
        <w:t>7</w:t>
      </w:r>
      <w:r w:rsidRPr="005A7C61">
        <w:rPr>
          <w:rFonts w:ascii="Arial" w:hAnsi="Arial" w:cs="Arial"/>
          <w:color w:val="414042"/>
          <w:sz w:val="22"/>
          <w:szCs w:val="22"/>
          <w:shd w:val="clear" w:color="auto" w:fill="FFFFFF"/>
        </w:rPr>
        <w:t xml:space="preserve">. In these life tables, the mortality of cancer patients is compared with that of individuals in the general population who belong to the same single year of age (0 to 99 years), sex, population weighted quintile of the index of multiple deprivation (IMD) and region. </w:t>
      </w:r>
    </w:p>
    <w:p w:rsidR="00446B9F" w:rsidRPr="00446B9F" w:rsidRDefault="00446B9F" w:rsidP="005A7C61">
      <w:pPr>
        <w:shd w:val="clear" w:color="auto" w:fill="FFFFFF"/>
        <w:spacing w:after="240" w:line="360" w:lineRule="atLeast"/>
        <w:rPr>
          <w:rFonts w:ascii="Arial" w:eastAsia="Times New Roman" w:hAnsi="Arial" w:cs="Arial"/>
          <w:color w:val="414042"/>
          <w:lang w:eastAsia="en-GB"/>
        </w:rPr>
      </w:pPr>
      <w:r w:rsidRPr="00446B9F">
        <w:rPr>
          <w:rFonts w:ascii="Arial" w:eastAsia="Times New Roman" w:hAnsi="Arial" w:cs="Arial"/>
          <w:color w:val="414042"/>
          <w:lang w:eastAsia="en-GB"/>
        </w:rPr>
        <w:t>In the overall adult survival analyses, for age groups where the estimates do not meet the following quality criteria, the result is suppressed for that particular age group of the specific cancer site:</w:t>
      </w:r>
    </w:p>
    <w:p w:rsidR="00446B9F" w:rsidRPr="005A7C61" w:rsidRDefault="00446B9F" w:rsidP="005A7C61">
      <w:pPr>
        <w:pStyle w:val="ListParagraph"/>
        <w:numPr>
          <w:ilvl w:val="0"/>
          <w:numId w:val="2"/>
        </w:numPr>
        <w:shd w:val="clear" w:color="auto" w:fill="FFFFFF"/>
        <w:spacing w:after="0" w:line="360" w:lineRule="atLeast"/>
        <w:rPr>
          <w:rFonts w:ascii="Arial" w:eastAsia="Times New Roman" w:hAnsi="Arial" w:cs="Arial"/>
          <w:color w:val="414042"/>
          <w:lang w:eastAsia="en-GB"/>
        </w:rPr>
      </w:pPr>
      <w:r w:rsidRPr="005A7C61">
        <w:rPr>
          <w:rFonts w:ascii="Arial" w:eastAsia="Times New Roman" w:hAnsi="Arial" w:cs="Arial"/>
          <w:color w:val="414042"/>
          <w:lang w:eastAsia="en-GB"/>
        </w:rPr>
        <w:t>A minimum of ten patients should be alive at the duration</w:t>
      </w:r>
      <w:r w:rsidR="00372AF3">
        <w:rPr>
          <w:rFonts w:ascii="Arial" w:eastAsia="Times New Roman" w:hAnsi="Arial" w:cs="Arial"/>
          <w:color w:val="414042"/>
          <w:lang w:eastAsia="en-GB"/>
        </w:rPr>
        <w:t>(s) of survival being estimated (</w:t>
      </w:r>
      <w:r w:rsidR="00194E8B">
        <w:rPr>
          <w:rFonts w:ascii="Arial" w:eastAsia="Times New Roman" w:hAnsi="Arial" w:cs="Arial"/>
          <w:color w:val="414042"/>
          <w:lang w:eastAsia="en-GB"/>
        </w:rPr>
        <w:t>no cohorts failed this criterion</w:t>
      </w:r>
      <w:r w:rsidR="00372AF3">
        <w:rPr>
          <w:rFonts w:ascii="Arial" w:eastAsia="Times New Roman" w:hAnsi="Arial" w:cs="Arial"/>
          <w:color w:val="414042"/>
          <w:lang w:eastAsia="en-GB"/>
        </w:rPr>
        <w:t>)</w:t>
      </w:r>
    </w:p>
    <w:p w:rsidR="00446B9F" w:rsidRPr="005A7C61" w:rsidRDefault="00446B9F" w:rsidP="005A7C61">
      <w:pPr>
        <w:pStyle w:val="ListParagraph"/>
        <w:numPr>
          <w:ilvl w:val="0"/>
          <w:numId w:val="2"/>
        </w:numPr>
        <w:shd w:val="clear" w:color="auto" w:fill="FFFFFF"/>
        <w:spacing w:after="0" w:line="360" w:lineRule="atLeast"/>
        <w:rPr>
          <w:rFonts w:ascii="Arial" w:eastAsia="Times New Roman" w:hAnsi="Arial" w:cs="Arial"/>
          <w:color w:val="414042"/>
          <w:lang w:eastAsia="en-GB"/>
        </w:rPr>
      </w:pPr>
      <w:r w:rsidRPr="005A7C61">
        <w:rPr>
          <w:rFonts w:ascii="Arial" w:eastAsia="Times New Roman" w:hAnsi="Arial" w:cs="Arial"/>
          <w:color w:val="414042"/>
          <w:lang w:eastAsia="en-GB"/>
        </w:rPr>
        <w:t xml:space="preserve">At least two patients should die in the years before or after </w:t>
      </w:r>
      <w:r w:rsidR="00372AF3">
        <w:rPr>
          <w:rFonts w:ascii="Arial" w:eastAsia="Times New Roman" w:hAnsi="Arial" w:cs="Arial"/>
          <w:color w:val="414042"/>
          <w:lang w:eastAsia="en-GB"/>
        </w:rPr>
        <w:t>the duration(s) being estimated (</w:t>
      </w:r>
      <w:r w:rsidR="00C32791">
        <w:rPr>
          <w:rFonts w:ascii="Arial" w:eastAsia="Times New Roman" w:hAnsi="Arial" w:cs="Arial"/>
          <w:color w:val="414042"/>
          <w:lang w:eastAsia="en-GB"/>
        </w:rPr>
        <w:t xml:space="preserve">cohorts failing this </w:t>
      </w:r>
      <w:r w:rsidR="00A53327">
        <w:rPr>
          <w:rFonts w:ascii="Arial" w:eastAsia="Times New Roman" w:hAnsi="Arial" w:cs="Arial"/>
          <w:color w:val="414042"/>
          <w:lang w:eastAsia="en-GB"/>
        </w:rPr>
        <w:t xml:space="preserve">criterion </w:t>
      </w:r>
      <w:r w:rsidR="00C32791">
        <w:rPr>
          <w:rFonts w:ascii="Arial" w:eastAsia="Times New Roman" w:hAnsi="Arial" w:cs="Arial"/>
          <w:color w:val="414042"/>
          <w:lang w:eastAsia="en-GB"/>
        </w:rPr>
        <w:t xml:space="preserve">are </w:t>
      </w:r>
      <w:r w:rsidR="00372AF3">
        <w:rPr>
          <w:rFonts w:ascii="Arial" w:eastAsia="Times New Roman" w:hAnsi="Arial" w:cs="Arial"/>
          <w:color w:val="414042"/>
          <w:lang w:eastAsia="en-GB"/>
        </w:rPr>
        <w:t>denoted “</w:t>
      </w:r>
      <w:r w:rsidR="00CE1311">
        <w:rPr>
          <w:rFonts w:ascii="Arial" w:eastAsia="Times New Roman" w:hAnsi="Arial" w:cs="Arial"/>
          <w:color w:val="414042"/>
          <w:lang w:eastAsia="en-GB"/>
        </w:rPr>
        <w:t>.f</w:t>
      </w:r>
      <w:r w:rsidR="00372AF3">
        <w:rPr>
          <w:rFonts w:ascii="Arial" w:eastAsia="Times New Roman" w:hAnsi="Arial" w:cs="Arial"/>
          <w:color w:val="414042"/>
          <w:lang w:eastAsia="en-GB"/>
        </w:rPr>
        <w:t>” in the results)</w:t>
      </w:r>
    </w:p>
    <w:p w:rsidR="00446B9F" w:rsidRDefault="00446B9F" w:rsidP="005A7C61">
      <w:pPr>
        <w:pStyle w:val="ListParagraph"/>
        <w:numPr>
          <w:ilvl w:val="0"/>
          <w:numId w:val="2"/>
        </w:numPr>
        <w:shd w:val="clear" w:color="auto" w:fill="FFFFFF"/>
        <w:spacing w:after="0" w:line="360" w:lineRule="atLeast"/>
        <w:rPr>
          <w:rFonts w:ascii="Arial" w:eastAsia="Times New Roman" w:hAnsi="Arial" w:cs="Arial"/>
          <w:color w:val="414042"/>
          <w:lang w:eastAsia="en-GB"/>
        </w:rPr>
      </w:pPr>
      <w:r w:rsidRPr="005A7C61">
        <w:rPr>
          <w:rFonts w:ascii="Arial" w:eastAsia="Times New Roman" w:hAnsi="Arial" w:cs="Arial"/>
          <w:color w:val="414042"/>
          <w:lang w:eastAsia="en-GB"/>
        </w:rPr>
        <w:t>The standard error of the survival estimates should be lower than 20%</w:t>
      </w:r>
      <w:r w:rsidR="00121ABC">
        <w:rPr>
          <w:rFonts w:ascii="Arial" w:eastAsia="Times New Roman" w:hAnsi="Arial" w:cs="Arial"/>
          <w:color w:val="414042"/>
          <w:lang w:eastAsia="en-GB"/>
        </w:rPr>
        <w:t xml:space="preserve"> (cohorts failing this criterion are denoted “</w:t>
      </w:r>
      <w:r w:rsidR="00CE1311">
        <w:rPr>
          <w:rFonts w:ascii="Arial" w:eastAsia="Times New Roman" w:hAnsi="Arial" w:cs="Arial"/>
          <w:color w:val="414042"/>
          <w:lang w:eastAsia="en-GB"/>
        </w:rPr>
        <w:t>.g</w:t>
      </w:r>
      <w:r w:rsidR="00121ABC">
        <w:rPr>
          <w:rFonts w:ascii="Arial" w:eastAsia="Times New Roman" w:hAnsi="Arial" w:cs="Arial"/>
          <w:color w:val="414042"/>
          <w:lang w:eastAsia="en-GB"/>
        </w:rPr>
        <w:t>” in the results</w:t>
      </w:r>
      <w:r w:rsidR="00AB58C7">
        <w:rPr>
          <w:rFonts w:ascii="Arial" w:eastAsia="Times New Roman" w:hAnsi="Arial" w:cs="Arial"/>
          <w:color w:val="414042"/>
          <w:lang w:eastAsia="en-GB"/>
        </w:rPr>
        <w:t>)</w:t>
      </w:r>
      <w:r w:rsidRPr="005A7C61">
        <w:rPr>
          <w:rFonts w:ascii="Arial" w:eastAsia="Times New Roman" w:hAnsi="Arial" w:cs="Arial"/>
          <w:color w:val="414042"/>
          <w:lang w:eastAsia="en-GB"/>
        </w:rPr>
        <w:t>.</w:t>
      </w:r>
    </w:p>
    <w:p w:rsidR="005A7C61" w:rsidRDefault="00F00921" w:rsidP="005A7C61">
      <w:pPr>
        <w:pStyle w:val="ListParagraph"/>
        <w:numPr>
          <w:ilvl w:val="0"/>
          <w:numId w:val="2"/>
        </w:numPr>
        <w:shd w:val="clear" w:color="auto" w:fill="FFFFFF"/>
        <w:spacing w:after="0" w:line="360" w:lineRule="atLeast"/>
        <w:rPr>
          <w:rFonts w:ascii="Arial" w:eastAsia="Times New Roman" w:hAnsi="Arial" w:cs="Arial"/>
          <w:color w:val="414042"/>
          <w:lang w:eastAsia="en-GB"/>
        </w:rPr>
      </w:pPr>
      <w:r w:rsidRPr="005A7C61">
        <w:rPr>
          <w:rFonts w:ascii="Arial" w:eastAsia="Times New Roman" w:hAnsi="Arial" w:cs="Arial"/>
          <w:color w:val="414042"/>
          <w:lang w:eastAsia="en-GB"/>
        </w:rPr>
        <w:t>The level of the survival estimates should not increase with duration</w:t>
      </w:r>
      <w:r>
        <w:rPr>
          <w:rFonts w:ascii="Arial" w:eastAsia="Times New Roman" w:hAnsi="Arial" w:cs="Arial"/>
          <w:color w:val="414042"/>
          <w:lang w:eastAsia="en-GB"/>
        </w:rPr>
        <w:t>. E</w:t>
      </w:r>
      <w:r w:rsidRPr="005A7C61">
        <w:rPr>
          <w:rFonts w:ascii="Arial" w:eastAsia="Times New Roman" w:hAnsi="Arial" w:cs="Arial"/>
          <w:color w:val="414042"/>
          <w:lang w:eastAsia="en-GB"/>
        </w:rPr>
        <w:t>.g. the survival estimated at 12-months following diagnosis should be lower than the survival estimated at 3-months</w:t>
      </w:r>
      <w:r>
        <w:rPr>
          <w:rFonts w:ascii="Arial" w:eastAsia="Times New Roman" w:hAnsi="Arial" w:cs="Arial"/>
          <w:color w:val="414042"/>
          <w:lang w:eastAsia="en-GB"/>
        </w:rPr>
        <w:t xml:space="preserve"> following diagnosis (cohorts faili</w:t>
      </w:r>
      <w:r w:rsidR="00CE1311">
        <w:rPr>
          <w:rFonts w:ascii="Arial" w:eastAsia="Times New Roman" w:hAnsi="Arial" w:cs="Arial"/>
          <w:color w:val="414042"/>
          <w:lang w:eastAsia="en-GB"/>
        </w:rPr>
        <w:t>ng this criterion are denoted “.h</w:t>
      </w:r>
      <w:r>
        <w:rPr>
          <w:rFonts w:ascii="Arial" w:eastAsia="Times New Roman" w:hAnsi="Arial" w:cs="Arial"/>
          <w:color w:val="414042"/>
          <w:lang w:eastAsia="en-GB"/>
        </w:rPr>
        <w:t>” in the results)</w:t>
      </w:r>
    </w:p>
    <w:p w:rsidR="00F00921" w:rsidRPr="00F00921" w:rsidRDefault="00F00921" w:rsidP="00F00921">
      <w:pPr>
        <w:shd w:val="clear" w:color="auto" w:fill="FFFFFF"/>
        <w:spacing w:after="0" w:line="360" w:lineRule="atLeast"/>
        <w:rPr>
          <w:rFonts w:ascii="Arial" w:eastAsia="Times New Roman" w:hAnsi="Arial" w:cs="Arial"/>
          <w:color w:val="414042"/>
          <w:lang w:eastAsia="en-GB"/>
        </w:rPr>
      </w:pPr>
    </w:p>
    <w:p w:rsidR="005A7C61" w:rsidRDefault="005A7C61" w:rsidP="005A7C61">
      <w:pPr>
        <w:pStyle w:val="NormalWeb"/>
        <w:shd w:val="clear" w:color="auto" w:fill="FFFFFF"/>
        <w:spacing w:before="0" w:beforeAutospacing="0" w:after="240" w:afterAutospacing="0" w:line="360" w:lineRule="atLeast"/>
        <w:rPr>
          <w:rFonts w:ascii="Arial" w:hAnsi="Arial" w:cs="Arial"/>
          <w:color w:val="414042"/>
          <w:sz w:val="22"/>
          <w:szCs w:val="22"/>
        </w:rPr>
      </w:pPr>
      <w:r w:rsidRPr="005A7C61">
        <w:rPr>
          <w:rFonts w:ascii="Arial" w:hAnsi="Arial" w:cs="Arial"/>
          <w:color w:val="414042"/>
          <w:sz w:val="22"/>
          <w:szCs w:val="22"/>
        </w:rPr>
        <w:t xml:space="preserve">We implement survival analysis data quality </w:t>
      </w:r>
      <w:hyperlink r:id="rId10" w:history="1">
        <w:r w:rsidRPr="005A7C61">
          <w:rPr>
            <w:rStyle w:val="Hyperlink"/>
            <w:rFonts w:ascii="Arial" w:hAnsi="Arial" w:cs="Arial"/>
            <w:color w:val="206095"/>
            <w:sz w:val="22"/>
            <w:szCs w:val="22"/>
          </w:rPr>
          <w:t>criteria</w:t>
        </w:r>
      </w:hyperlink>
      <w:r w:rsidRPr="005A7C61">
        <w:rPr>
          <w:rFonts w:ascii="Arial" w:hAnsi="Arial" w:cs="Arial"/>
          <w:color w:val="414042"/>
          <w:sz w:val="22"/>
          <w:szCs w:val="22"/>
        </w:rPr>
        <w:t>  to identify the patients that are eligible to be included in the analysis. Other decisions applied include:</w:t>
      </w:r>
    </w:p>
    <w:p w:rsidR="005A7C61" w:rsidRDefault="005A7C61" w:rsidP="005A7C61">
      <w:pPr>
        <w:pStyle w:val="NormalWeb"/>
        <w:numPr>
          <w:ilvl w:val="0"/>
          <w:numId w:val="5"/>
        </w:numPr>
        <w:shd w:val="clear" w:color="auto" w:fill="FFFFFF"/>
        <w:spacing w:before="0" w:beforeAutospacing="0" w:after="240" w:afterAutospacing="0" w:line="360" w:lineRule="atLeast"/>
        <w:rPr>
          <w:rFonts w:ascii="Arial" w:hAnsi="Arial" w:cs="Arial"/>
          <w:color w:val="414042"/>
          <w:sz w:val="22"/>
          <w:szCs w:val="22"/>
        </w:rPr>
      </w:pPr>
      <w:r w:rsidRPr="005A7C61">
        <w:rPr>
          <w:rFonts w:ascii="Arial" w:hAnsi="Arial" w:cs="Arial"/>
          <w:color w:val="414042"/>
          <w:sz w:val="22"/>
          <w:szCs w:val="22"/>
        </w:rPr>
        <w:t>where a patient dies on the date of diagnosis but is not a DCO registration, then these patients should be included in the survival analyses but should have 1 day added to the recorded date of death to accommodate limits in </w:t>
      </w:r>
      <w:hyperlink r:id="rId11" w:history="1">
        <w:r w:rsidRPr="005A7C61">
          <w:rPr>
            <w:rStyle w:val="Hyperlink"/>
            <w:rFonts w:ascii="Arial" w:hAnsi="Arial" w:cs="Arial"/>
            <w:color w:val="206095"/>
            <w:sz w:val="22"/>
            <w:szCs w:val="22"/>
          </w:rPr>
          <w:t>Stata’s stset command</w:t>
        </w:r>
      </w:hyperlink>
    </w:p>
    <w:p w:rsidR="005A7C61" w:rsidRPr="005A7C61" w:rsidRDefault="005A7C61" w:rsidP="005A7C61">
      <w:pPr>
        <w:pStyle w:val="NormalWeb"/>
        <w:numPr>
          <w:ilvl w:val="0"/>
          <w:numId w:val="5"/>
        </w:numPr>
        <w:shd w:val="clear" w:color="auto" w:fill="FFFFFF"/>
        <w:spacing w:before="0" w:beforeAutospacing="0" w:after="240" w:afterAutospacing="0" w:line="360" w:lineRule="atLeast"/>
        <w:rPr>
          <w:rFonts w:ascii="Arial" w:hAnsi="Arial" w:cs="Arial"/>
          <w:color w:val="414042"/>
          <w:sz w:val="22"/>
          <w:szCs w:val="22"/>
        </w:rPr>
      </w:pPr>
      <w:r w:rsidRPr="005A7C61">
        <w:rPr>
          <w:rFonts w:ascii="Arial" w:hAnsi="Arial" w:cs="Arial"/>
          <w:color w:val="414042"/>
          <w:sz w:val="22"/>
          <w:szCs w:val="22"/>
        </w:rPr>
        <w:lastRenderedPageBreak/>
        <w:t>when two or more tumours of the same type are diagnosed on the same day for a patient, the one with the worst prognosis is chosen for inclusion</w:t>
      </w:r>
    </w:p>
    <w:sectPr w:rsidR="005A7C61" w:rsidRPr="005A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79FC"/>
    <w:multiLevelType w:val="multilevel"/>
    <w:tmpl w:val="240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5766D"/>
    <w:multiLevelType w:val="multilevel"/>
    <w:tmpl w:val="E85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43C4D"/>
    <w:multiLevelType w:val="hybridMultilevel"/>
    <w:tmpl w:val="42201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81079D"/>
    <w:multiLevelType w:val="multilevel"/>
    <w:tmpl w:val="998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2424D"/>
    <w:multiLevelType w:val="hybridMultilevel"/>
    <w:tmpl w:val="A01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2D"/>
    <w:rsid w:val="000F7776"/>
    <w:rsid w:val="00121ABC"/>
    <w:rsid w:val="00194E8B"/>
    <w:rsid w:val="0032562D"/>
    <w:rsid w:val="00351C1A"/>
    <w:rsid w:val="00372AF3"/>
    <w:rsid w:val="00431008"/>
    <w:rsid w:val="00446B9F"/>
    <w:rsid w:val="004F0B39"/>
    <w:rsid w:val="005A7C61"/>
    <w:rsid w:val="005B3E7E"/>
    <w:rsid w:val="006F560F"/>
    <w:rsid w:val="00811460"/>
    <w:rsid w:val="008E03E8"/>
    <w:rsid w:val="009F5171"/>
    <w:rsid w:val="00A53327"/>
    <w:rsid w:val="00AB58C7"/>
    <w:rsid w:val="00AF5953"/>
    <w:rsid w:val="00B26C9A"/>
    <w:rsid w:val="00C32791"/>
    <w:rsid w:val="00CA5CCE"/>
    <w:rsid w:val="00CD2F50"/>
    <w:rsid w:val="00CE1311"/>
    <w:rsid w:val="00EE4A12"/>
    <w:rsid w:val="00F00921"/>
    <w:rsid w:val="00F625F8"/>
    <w:rsid w:val="00F77F25"/>
    <w:rsid w:val="00FF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4B8D"/>
  <w15:docId w15:val="{E3744B6A-B2B6-494A-813A-93EF2EF1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B9F"/>
    <w:rPr>
      <w:color w:val="0000FF" w:themeColor="hyperlink"/>
      <w:u w:val="single"/>
    </w:rPr>
  </w:style>
  <w:style w:type="paragraph" w:styleId="NormalWeb">
    <w:name w:val="Normal (Web)"/>
    <w:basedOn w:val="Normal"/>
    <w:uiPriority w:val="99"/>
    <w:unhideWhenUsed/>
    <w:rsid w:val="00446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99A"/>
    <w:pPr>
      <w:ind w:left="720"/>
      <w:contextualSpacing/>
    </w:pPr>
  </w:style>
  <w:style w:type="character" w:styleId="UnresolvedMention">
    <w:name w:val="Unresolved Mention"/>
    <w:basedOn w:val="DefaultParagraphFont"/>
    <w:uiPriority w:val="99"/>
    <w:semiHidden/>
    <w:unhideWhenUsed/>
    <w:rsid w:val="006F560F"/>
    <w:rPr>
      <w:color w:val="808080"/>
      <w:shd w:val="clear" w:color="auto" w:fill="E6E6E6"/>
    </w:rPr>
  </w:style>
  <w:style w:type="character" w:styleId="FollowedHyperlink">
    <w:name w:val="FollowedHyperlink"/>
    <w:basedOn w:val="DefaultParagraphFont"/>
    <w:uiPriority w:val="99"/>
    <w:semiHidden/>
    <w:unhideWhenUsed/>
    <w:rsid w:val="00B26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37800">
      <w:bodyDiv w:val="1"/>
      <w:marLeft w:val="0"/>
      <w:marRight w:val="0"/>
      <w:marTop w:val="0"/>
      <w:marBottom w:val="0"/>
      <w:divBdr>
        <w:top w:val="none" w:sz="0" w:space="0" w:color="auto"/>
        <w:left w:val="none" w:sz="0" w:space="0" w:color="auto"/>
        <w:bottom w:val="none" w:sz="0" w:space="0" w:color="auto"/>
        <w:right w:val="none" w:sz="0" w:space="0" w:color="auto"/>
      </w:divBdr>
    </w:div>
    <w:div w:id="1390811882">
      <w:bodyDiv w:val="1"/>
      <w:marLeft w:val="0"/>
      <w:marRight w:val="0"/>
      <w:marTop w:val="0"/>
      <w:marBottom w:val="0"/>
      <w:divBdr>
        <w:top w:val="none" w:sz="0" w:space="0" w:color="auto"/>
        <w:left w:val="none" w:sz="0" w:space="0" w:color="auto"/>
        <w:bottom w:val="none" w:sz="0" w:space="0" w:color="auto"/>
        <w:right w:val="none" w:sz="0" w:space="0" w:color="auto"/>
      </w:divBdr>
    </w:div>
    <w:div w:id="17019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journal.com/article.html?article=st03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doi/10.1111/j.1541-0420.2011.01640.x/abs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s.gov.uk/peoplepopulationandcommunity/healthandsocialcare/conditionsanddiseases/bulletins/cancersurvivalinengland/nationalestimatesforpatientsfollowedupto2017" TargetMode="External"/><Relationship Id="rId11" Type="http://schemas.openxmlformats.org/officeDocument/2006/relationships/hyperlink" Target="http://www.stata.com/manuals13/ststset.pdf" TargetMode="External"/><Relationship Id="rId5" Type="http://schemas.openxmlformats.org/officeDocument/2006/relationships/hyperlink" Target="http://www.ukiacr.org/publication/guidelines-population-based-cancer-survival-analysis" TargetMode="External"/><Relationship Id="rId10" Type="http://schemas.openxmlformats.org/officeDocument/2006/relationships/hyperlink" Target="http://www.sciencedirect.com/science/article/pii/S1877782114000356" TargetMode="External"/><Relationship Id="rId4" Type="http://schemas.openxmlformats.org/officeDocument/2006/relationships/webSettings" Target="webSettings.xml"/><Relationship Id="rId9" Type="http://schemas.openxmlformats.org/officeDocument/2006/relationships/hyperlink" Target="https://www.ons.gov.uk/peoplepopulationandcommunity/healthandsocialcare/conditionsanddiseases/datasets/cancersurvivalsmoothedlif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Charlie Turner</cp:lastModifiedBy>
  <cp:revision>11</cp:revision>
  <dcterms:created xsi:type="dcterms:W3CDTF">2019-02-08T12:19:00Z</dcterms:created>
  <dcterms:modified xsi:type="dcterms:W3CDTF">2019-02-10T11:53:00Z</dcterms:modified>
</cp:coreProperties>
</file>